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67" w:rsidRDefault="00ED3D67" w:rsidP="00A747B4">
      <w:pPr>
        <w:tabs>
          <w:tab w:val="left" w:pos="3947"/>
        </w:tabs>
        <w:spacing w:after="120"/>
        <w:rPr>
          <w:szCs w:val="24"/>
        </w:rPr>
      </w:pPr>
    </w:p>
    <w:p w:rsidR="00F05A4F" w:rsidRDefault="00BF02FD" w:rsidP="00A747B4">
      <w:pPr>
        <w:tabs>
          <w:tab w:val="left" w:pos="3947"/>
        </w:tabs>
        <w:spacing w:after="120"/>
        <w:rPr>
          <w:b/>
          <w:szCs w:val="24"/>
        </w:rPr>
      </w:pPr>
      <w:r w:rsidRPr="00BF02FD">
        <w:rPr>
          <w:b/>
          <w:szCs w:val="24"/>
        </w:rPr>
        <w:t xml:space="preserve">Disposizioni </w:t>
      </w:r>
      <w:r w:rsidR="006A0F2D">
        <w:rPr>
          <w:b/>
          <w:szCs w:val="24"/>
        </w:rPr>
        <w:t xml:space="preserve">nazionali </w:t>
      </w:r>
      <w:r w:rsidRPr="00BF02FD">
        <w:rPr>
          <w:b/>
          <w:szCs w:val="24"/>
        </w:rPr>
        <w:t xml:space="preserve">concernenti </w:t>
      </w:r>
      <w:r w:rsidR="00767BFD">
        <w:rPr>
          <w:b/>
          <w:szCs w:val="24"/>
        </w:rPr>
        <w:t>l’attuazione del regolamento di esecuzione (UE) n. 299</w:t>
      </w:r>
      <w:r w:rsidR="00007E06">
        <w:rPr>
          <w:b/>
          <w:szCs w:val="24"/>
        </w:rPr>
        <w:t>/</w:t>
      </w:r>
      <w:r w:rsidR="00007E06" w:rsidRPr="00BC7B48">
        <w:rPr>
          <w:b/>
          <w:szCs w:val="24"/>
        </w:rPr>
        <w:t>2013</w:t>
      </w:r>
      <w:r w:rsidR="00767BFD">
        <w:rPr>
          <w:b/>
          <w:szCs w:val="24"/>
        </w:rPr>
        <w:t xml:space="preserve"> della Commissione del 26 marzo </w:t>
      </w:r>
      <w:r w:rsidR="00767BFD" w:rsidRPr="00BC7B48">
        <w:rPr>
          <w:b/>
          <w:szCs w:val="24"/>
        </w:rPr>
        <w:t>201</w:t>
      </w:r>
      <w:r w:rsidR="00007E06" w:rsidRPr="00BC7B48">
        <w:rPr>
          <w:b/>
          <w:szCs w:val="24"/>
        </w:rPr>
        <w:t>3</w:t>
      </w:r>
      <w:r w:rsidR="00767BFD">
        <w:rPr>
          <w:b/>
          <w:szCs w:val="24"/>
        </w:rPr>
        <w:t>, recante modifica del regolamento (CEE) n. 2568/91</w:t>
      </w:r>
      <w:r w:rsidR="00BA628E">
        <w:rPr>
          <w:b/>
          <w:szCs w:val="24"/>
        </w:rPr>
        <w:t>,</w:t>
      </w:r>
      <w:r w:rsidR="00767BFD">
        <w:rPr>
          <w:b/>
          <w:szCs w:val="24"/>
        </w:rPr>
        <w:t xml:space="preserve"> relativo alle caratteristiche degli oli d’oliva e degli oli di sansa d’oliva nonché ai metodi ad essi attinenti.</w:t>
      </w:r>
    </w:p>
    <w:p w:rsidR="00BF02FD" w:rsidRDefault="00BF02FD" w:rsidP="00A747B4">
      <w:pPr>
        <w:tabs>
          <w:tab w:val="left" w:pos="3947"/>
        </w:tabs>
        <w:spacing w:after="120"/>
        <w:ind w:firstLine="284"/>
        <w:rPr>
          <w:b/>
          <w:szCs w:val="24"/>
        </w:rPr>
      </w:pPr>
    </w:p>
    <w:p w:rsidR="00BF02FD" w:rsidRDefault="00FC2471" w:rsidP="00A747B4">
      <w:pPr>
        <w:tabs>
          <w:tab w:val="left" w:pos="3947"/>
        </w:tabs>
        <w:spacing w:after="120"/>
        <w:ind w:firstLine="284"/>
        <w:rPr>
          <w:b/>
          <w:szCs w:val="24"/>
        </w:rPr>
      </w:pPr>
      <w:r>
        <w:rPr>
          <w:b/>
          <w:szCs w:val="24"/>
        </w:rPr>
        <w:t xml:space="preserve">Decreto n.              del </w:t>
      </w:r>
    </w:p>
    <w:p w:rsidR="00FC2471" w:rsidRPr="00BF02FD" w:rsidRDefault="00FC2471" w:rsidP="00A747B4">
      <w:pPr>
        <w:tabs>
          <w:tab w:val="left" w:pos="3947"/>
        </w:tabs>
        <w:spacing w:after="120"/>
        <w:ind w:firstLine="284"/>
        <w:rPr>
          <w:b/>
          <w:szCs w:val="24"/>
        </w:rPr>
      </w:pPr>
    </w:p>
    <w:p w:rsidR="00686C56" w:rsidRDefault="00686C56" w:rsidP="00A747B4">
      <w:pPr>
        <w:tabs>
          <w:tab w:val="left" w:pos="3947"/>
        </w:tabs>
        <w:spacing w:after="120"/>
        <w:ind w:firstLine="284"/>
        <w:rPr>
          <w:szCs w:val="24"/>
        </w:rPr>
      </w:pPr>
      <w:r>
        <w:rPr>
          <w:szCs w:val="24"/>
        </w:rPr>
        <w:t xml:space="preserve">VISTO il regolamento (CEE) n. 2568/91 della Commissione, dell’11 luglio 1991, relativo alle caratteristiche degli oli d’oliva e degli oli di sansa d’oliva nonché ai </w:t>
      </w:r>
      <w:r w:rsidRPr="002913E2">
        <w:rPr>
          <w:szCs w:val="24"/>
        </w:rPr>
        <w:t>metodi ad essi attinenti;</w:t>
      </w:r>
    </w:p>
    <w:p w:rsidR="00686C56" w:rsidRDefault="00686C56" w:rsidP="00A747B4">
      <w:pPr>
        <w:spacing w:after="120"/>
        <w:ind w:firstLine="284"/>
        <w:rPr>
          <w:szCs w:val="24"/>
        </w:rPr>
      </w:pPr>
      <w:r>
        <w:rPr>
          <w:szCs w:val="24"/>
        </w:rPr>
        <w:t>VISTO il regolamento (CE) n. 1234/2007 del Consiglio, del 22 ottobre 2007, recante organizzazione comune dei mercati agricoli e disposizioni specifiche per taluni prodotti agricoli (regolamento unico OCM);</w:t>
      </w:r>
    </w:p>
    <w:p w:rsidR="00686C56" w:rsidRDefault="00686C56" w:rsidP="00A747B4">
      <w:pPr>
        <w:tabs>
          <w:tab w:val="left" w:pos="3947"/>
        </w:tabs>
        <w:spacing w:after="120"/>
        <w:ind w:firstLine="284"/>
        <w:rPr>
          <w:szCs w:val="24"/>
        </w:rPr>
      </w:pPr>
      <w:r>
        <w:rPr>
          <w:szCs w:val="24"/>
        </w:rPr>
        <w:t>VISTO il regolamento 299/2013 della Commissione, del 26 marzo 2013, recante modifica del regolamento (CEE) n. 2568/9</w:t>
      </w:r>
      <w:r w:rsidR="00007E06" w:rsidRPr="00B4025D">
        <w:rPr>
          <w:szCs w:val="24"/>
        </w:rPr>
        <w:t>1</w:t>
      </w:r>
      <w:r>
        <w:rPr>
          <w:szCs w:val="24"/>
        </w:rPr>
        <w:t>, relativo alle caratteristiche degli oli d’oliva e degli oli di sansa d’oliva nonché ai metodi ad essi attinenti;</w:t>
      </w:r>
    </w:p>
    <w:p w:rsidR="008B3BEE" w:rsidRPr="001949C1" w:rsidRDefault="008B3BEE" w:rsidP="00A747B4">
      <w:pPr>
        <w:tabs>
          <w:tab w:val="left" w:pos="3947"/>
        </w:tabs>
        <w:spacing w:after="120"/>
        <w:ind w:firstLine="284"/>
        <w:rPr>
          <w:szCs w:val="24"/>
        </w:rPr>
      </w:pPr>
      <w:r w:rsidRPr="001949C1">
        <w:rPr>
          <w:szCs w:val="24"/>
        </w:rPr>
        <w:t>VISTA la legge 6 febbraio 2007 n. 13 recante disposizioni per l’adempimento di obblighi derivanti dall’appartenenza dell’Italia alle Comunità europee – Legge comunitaria 2006;</w:t>
      </w:r>
    </w:p>
    <w:p w:rsidR="008B3BEE" w:rsidRPr="001949C1" w:rsidRDefault="008B3BEE" w:rsidP="00A747B4">
      <w:pPr>
        <w:spacing w:after="120"/>
        <w:ind w:firstLine="284"/>
        <w:rPr>
          <w:szCs w:val="24"/>
        </w:rPr>
      </w:pPr>
      <w:r w:rsidRPr="001949C1">
        <w:rPr>
          <w:szCs w:val="24"/>
        </w:rPr>
        <w:t xml:space="preserve">VISTO il decreto ministeriale 4 luglio 2007 recante disposizioni attuative dell’articolo 20 della Legge 6 febbraio 2007 n. 13 </w:t>
      </w:r>
      <w:r w:rsidR="005C1900" w:rsidRPr="001949C1">
        <w:rPr>
          <w:szCs w:val="24"/>
        </w:rPr>
        <w:t>-</w:t>
      </w:r>
      <w:r w:rsidRPr="001949C1">
        <w:rPr>
          <w:szCs w:val="24"/>
        </w:rPr>
        <w:t xml:space="preserve"> Legge comunitaria 2006, concernenti le comunicazioni periodiche all’Agea in materi</w:t>
      </w:r>
      <w:r w:rsidR="00607EDD">
        <w:rPr>
          <w:szCs w:val="24"/>
        </w:rPr>
        <w:t>a</w:t>
      </w:r>
      <w:r w:rsidRPr="001949C1">
        <w:rPr>
          <w:szCs w:val="24"/>
        </w:rPr>
        <w:t xml:space="preserve"> di produzione di olio di oliva e di olive da tavola. A</w:t>
      </w:r>
      <w:r w:rsidR="00607EDD">
        <w:rPr>
          <w:szCs w:val="24"/>
        </w:rPr>
        <w:t>dempimenti da parte dei frantoi</w:t>
      </w:r>
      <w:r w:rsidRPr="001949C1">
        <w:rPr>
          <w:szCs w:val="24"/>
        </w:rPr>
        <w:t xml:space="preserve"> oleari e delle imprese di trasformazione delle olive d tavola</w:t>
      </w:r>
      <w:r w:rsidR="00FC2471" w:rsidRPr="001949C1">
        <w:rPr>
          <w:szCs w:val="24"/>
        </w:rPr>
        <w:t>;</w:t>
      </w:r>
    </w:p>
    <w:p w:rsidR="00686C56" w:rsidRDefault="00686C56" w:rsidP="00A747B4">
      <w:pPr>
        <w:spacing w:after="120"/>
        <w:ind w:firstLine="284"/>
        <w:rPr>
          <w:szCs w:val="24"/>
        </w:rPr>
      </w:pPr>
      <w:r>
        <w:rPr>
          <w:szCs w:val="24"/>
        </w:rPr>
        <w:t>VISTO il decreto ministeriale 10 novembre 2009</w:t>
      </w:r>
      <w:r w:rsidR="00A86EEF">
        <w:rPr>
          <w:szCs w:val="24"/>
        </w:rPr>
        <w:t xml:space="preserve">, </w:t>
      </w:r>
      <w:r>
        <w:rPr>
          <w:szCs w:val="24"/>
        </w:rPr>
        <w:t>recante diposizioni nazionali relative alle norme di commercializzazione dell’olio di oliva;</w:t>
      </w:r>
    </w:p>
    <w:p w:rsidR="00686C56" w:rsidRDefault="00686C56" w:rsidP="00A747B4">
      <w:pPr>
        <w:spacing w:after="120"/>
        <w:ind w:firstLine="284"/>
        <w:rPr>
          <w:szCs w:val="24"/>
        </w:rPr>
      </w:pPr>
      <w:r>
        <w:rPr>
          <w:szCs w:val="24"/>
        </w:rPr>
        <w:t xml:space="preserve">VISTO il decreto ministeriale 28 febbraio 2012, recante criteri e modalità per il riconoscimento dei panel di assaggiatori ai fini della valutazione e del controllo delle caratteristiche organolettiche degli oli di oliva vergini di cui al regolamento (CEE) 2568/91, nonché per l’iscrizione nell’elenco nazionale di tecnici ed </w:t>
      </w:r>
      <w:r w:rsidR="00343F36" w:rsidRPr="00343F36">
        <w:rPr>
          <w:szCs w:val="24"/>
        </w:rPr>
        <w:t>esperti</w:t>
      </w:r>
      <w:r>
        <w:rPr>
          <w:szCs w:val="24"/>
        </w:rPr>
        <w:t xml:space="preserve"> degli oli di oliva vergini e extravergini;</w:t>
      </w:r>
    </w:p>
    <w:p w:rsidR="00686C56" w:rsidRPr="00380D4D" w:rsidRDefault="00686C56" w:rsidP="00A747B4">
      <w:pPr>
        <w:autoSpaceDE w:val="0"/>
        <w:autoSpaceDN w:val="0"/>
        <w:adjustRightInd w:val="0"/>
        <w:spacing w:after="120"/>
        <w:ind w:firstLine="284"/>
        <w:rPr>
          <w:szCs w:val="24"/>
        </w:rPr>
      </w:pPr>
      <w:r>
        <w:rPr>
          <w:szCs w:val="24"/>
        </w:rPr>
        <w:t>VISTO</w:t>
      </w:r>
      <w:r w:rsidRPr="00380D4D">
        <w:rPr>
          <w:szCs w:val="24"/>
        </w:rPr>
        <w:t xml:space="preserve"> il decreto del Presidente della Repubblica 14 febbraio 2012, n.41, </w:t>
      </w:r>
      <w:r w:rsidRPr="00380D4D">
        <w:rPr>
          <w:bCs/>
          <w:szCs w:val="24"/>
        </w:rPr>
        <w:t>recante</w:t>
      </w:r>
      <w:r>
        <w:rPr>
          <w:bCs/>
          <w:szCs w:val="24"/>
        </w:rPr>
        <w:t xml:space="preserve"> la</w:t>
      </w:r>
      <w:r w:rsidRPr="00380D4D">
        <w:rPr>
          <w:bCs/>
          <w:szCs w:val="24"/>
        </w:rPr>
        <w:t xml:space="preserve"> riorganizzazione del Ministero delle politiche agricole alimentari e forestali, a norma dell'articolo 2, commi 8-bis, 8-quater e 8-quinquies, del decreto-legge 30 dicembre 2009, n. 194, convertito, con modificazioni, dalla legge 26 febbraio 2010, n.25, e dell'articolo 1, comma 3, del decreto-legge 13 agosto 2011, n.138, convertito, con modificazioni, dalla legge 14 settembre 2011, n.148</w:t>
      </w:r>
      <w:r w:rsidRPr="00380D4D">
        <w:rPr>
          <w:szCs w:val="24"/>
        </w:rPr>
        <w:t xml:space="preserve">; </w:t>
      </w:r>
    </w:p>
    <w:p w:rsidR="00686C56" w:rsidRDefault="00686C56" w:rsidP="00A747B4">
      <w:pPr>
        <w:widowControl w:val="0"/>
        <w:spacing w:after="120"/>
        <w:ind w:firstLine="284"/>
        <w:rPr>
          <w:szCs w:val="24"/>
        </w:rPr>
      </w:pPr>
      <w:r>
        <w:rPr>
          <w:szCs w:val="24"/>
        </w:rPr>
        <w:t xml:space="preserve">VISTO il decreto </w:t>
      </w:r>
      <w:r w:rsidR="00A86EEF">
        <w:rPr>
          <w:szCs w:val="24"/>
        </w:rPr>
        <w:t xml:space="preserve">ministeriale </w:t>
      </w:r>
      <w:r>
        <w:rPr>
          <w:szCs w:val="24"/>
        </w:rPr>
        <w:t>2 agosto 2012, recante individuazione degli uffici dirigenziali non generali</w:t>
      </w:r>
      <w:r w:rsidR="00607EDD">
        <w:rPr>
          <w:szCs w:val="24"/>
        </w:rPr>
        <w:t xml:space="preserve"> </w:t>
      </w:r>
      <w:r>
        <w:rPr>
          <w:szCs w:val="24"/>
        </w:rPr>
        <w:t>del Ministero delle politiche agricole alimentari e forestali;</w:t>
      </w:r>
    </w:p>
    <w:p w:rsidR="00686C56" w:rsidRDefault="00686C56" w:rsidP="00A747B4">
      <w:pPr>
        <w:widowControl w:val="0"/>
        <w:spacing w:after="120"/>
        <w:ind w:firstLine="284"/>
        <w:rPr>
          <w:szCs w:val="24"/>
        </w:rPr>
      </w:pPr>
      <w:r>
        <w:rPr>
          <w:szCs w:val="24"/>
        </w:rPr>
        <w:t>VISTO l’art. 4, comma 3, della legge 29 dicembre 1990, n. 428, concernente disposizioni per l’adempimento di obblighi derivanti dall’appartenenza dell’Italia alle Comunità europee (legge comunitaria 1990), così come modificato dall’articolo 2, comma 1, del decreto-legge 24 giugno 2004, n. 157, convertito, con modificazioni nella legge 3 agosto 2004, n. 204, con  il quale si dispone che il Ministro delle politiche agricole e forestali, nell’ambito di sua competenza, d’intesa con la Conferenza permanente per i rapporti tra lo Stato, le Regioni e le Province autonome di Trento e Bolzano, prevede con decreto all’applicazione nel territorio nazionale dei regolamenti emanati dalla Comunità europea;</w:t>
      </w:r>
    </w:p>
    <w:p w:rsidR="00686C56" w:rsidRDefault="00686C56" w:rsidP="00A747B4">
      <w:pPr>
        <w:widowControl w:val="0"/>
        <w:spacing w:after="120"/>
        <w:ind w:firstLine="284"/>
        <w:rPr>
          <w:szCs w:val="24"/>
        </w:rPr>
      </w:pPr>
      <w:r>
        <w:rPr>
          <w:szCs w:val="24"/>
        </w:rPr>
        <w:t>VISTO il decreto legislativo 1999, n. 300, recante Riforma dell’organizzazione del Governo a norma dell’articolo 11 della legge 15 marzo 1997, n. 59 e successive modificazioni;</w:t>
      </w:r>
    </w:p>
    <w:p w:rsidR="004B6D9D" w:rsidRPr="00493468" w:rsidRDefault="004B6D9D" w:rsidP="00A747B4">
      <w:pPr>
        <w:spacing w:after="120"/>
        <w:ind w:firstLine="284"/>
        <w:outlineLvl w:val="0"/>
        <w:rPr>
          <w:szCs w:val="24"/>
        </w:rPr>
      </w:pPr>
      <w:r w:rsidRPr="00493468">
        <w:rPr>
          <w:szCs w:val="24"/>
        </w:rPr>
        <w:lastRenderedPageBreak/>
        <w:t xml:space="preserve">VISTO il decreto del Presidente della Repubblica 1 dicembre 1999, n. 503, Regolamento recante norme per l'istituzione della Carta dell'agricoltore e del pescatore e dell'anagrafe delle aziende agricole, in attuazione dell'articolo 14, comma 3, del </w:t>
      </w:r>
      <w:proofErr w:type="spellStart"/>
      <w:r w:rsidRPr="00493468">
        <w:rPr>
          <w:szCs w:val="24"/>
        </w:rPr>
        <w:t>D.Lgs.</w:t>
      </w:r>
      <w:proofErr w:type="spellEnd"/>
      <w:r w:rsidRPr="00493468">
        <w:rPr>
          <w:szCs w:val="24"/>
        </w:rPr>
        <w:t xml:space="preserve"> 30 aprile 1998, n. 173</w:t>
      </w:r>
      <w:r w:rsidR="00ED3D67">
        <w:rPr>
          <w:szCs w:val="24"/>
        </w:rPr>
        <w:t>;</w:t>
      </w:r>
    </w:p>
    <w:p w:rsidR="004B6D9D" w:rsidRDefault="004B6D9D" w:rsidP="00A747B4">
      <w:pPr>
        <w:widowControl w:val="0"/>
        <w:spacing w:after="120"/>
        <w:ind w:firstLine="284"/>
        <w:rPr>
          <w:szCs w:val="24"/>
        </w:rPr>
      </w:pPr>
      <w:r w:rsidRPr="00493468">
        <w:rPr>
          <w:szCs w:val="24"/>
        </w:rPr>
        <w:t>VISTO il D.</w:t>
      </w:r>
      <w:r w:rsidR="009322B0">
        <w:rPr>
          <w:szCs w:val="24"/>
        </w:rPr>
        <w:t xml:space="preserve"> </w:t>
      </w:r>
      <w:proofErr w:type="spellStart"/>
      <w:r w:rsidRPr="00493468">
        <w:rPr>
          <w:szCs w:val="24"/>
        </w:rPr>
        <w:t>Lgs</w:t>
      </w:r>
      <w:proofErr w:type="spellEnd"/>
      <w:r w:rsidRPr="00493468">
        <w:rPr>
          <w:szCs w:val="24"/>
        </w:rPr>
        <w:t xml:space="preserve">. 29 marzo 2004, n. 99, Disposizioni in materia di soggetti e attività, integrità aziendale e semplificazione amministrativa in agricoltura, a norma dell'articolo 1, comma 2, lettere d), f), g), l), </w:t>
      </w:r>
      <w:proofErr w:type="spellStart"/>
      <w:r w:rsidRPr="00493468">
        <w:rPr>
          <w:szCs w:val="24"/>
        </w:rPr>
        <w:t>ee</w:t>
      </w:r>
      <w:proofErr w:type="spellEnd"/>
      <w:r w:rsidRPr="00493468">
        <w:rPr>
          <w:szCs w:val="24"/>
        </w:rPr>
        <w:t xml:space="preserve">), della </w:t>
      </w:r>
      <w:hyperlink r:id="rId9" w:history="1">
        <w:r w:rsidR="00A86EEF">
          <w:rPr>
            <w:szCs w:val="24"/>
          </w:rPr>
          <w:t xml:space="preserve">legge </w:t>
        </w:r>
        <w:r w:rsidRPr="00493468">
          <w:rPr>
            <w:szCs w:val="24"/>
          </w:rPr>
          <w:t>7 marzo 2003, n. 38</w:t>
        </w:r>
      </w:hyperlink>
      <w:r w:rsidR="00ED3D67">
        <w:t>;</w:t>
      </w:r>
    </w:p>
    <w:p w:rsidR="00B30A15" w:rsidRPr="004C6BBC" w:rsidRDefault="004C6BBC" w:rsidP="00A747B4">
      <w:pPr>
        <w:widowControl w:val="0"/>
        <w:spacing w:after="120"/>
        <w:ind w:firstLine="284"/>
        <w:rPr>
          <w:szCs w:val="24"/>
        </w:rPr>
      </w:pPr>
      <w:r>
        <w:rPr>
          <w:szCs w:val="24"/>
        </w:rPr>
        <w:t>VISTO</w:t>
      </w:r>
      <w:r w:rsidR="00ED3D67">
        <w:rPr>
          <w:szCs w:val="24"/>
        </w:rPr>
        <w:t xml:space="preserve"> il decreto del Presidente del C</w:t>
      </w:r>
      <w:r w:rsidR="00B30A15" w:rsidRPr="004C6BBC">
        <w:rPr>
          <w:szCs w:val="24"/>
        </w:rPr>
        <w:t xml:space="preserve">onsiglio dei </w:t>
      </w:r>
      <w:r w:rsidR="00343F36" w:rsidRPr="00343F36">
        <w:rPr>
          <w:szCs w:val="24"/>
        </w:rPr>
        <w:t>M</w:t>
      </w:r>
      <w:r w:rsidR="00B30A15" w:rsidRPr="00343F36">
        <w:rPr>
          <w:szCs w:val="24"/>
        </w:rPr>
        <w:t>inistri</w:t>
      </w:r>
      <w:r w:rsidR="00B30A15" w:rsidRPr="004C6BBC">
        <w:rPr>
          <w:szCs w:val="24"/>
        </w:rPr>
        <w:t xml:space="preserve"> 14 novembre 2012, n. 252, Regolamento recante i criteri e le modalità per la pubblicazione degli atti e degli allegati elenchi degli oneri introdotti ed eliminati, ai sensi dell’articolo 7, comma 2, della legge 11 novembre 2011, n. 180 “Norme per la tutela della libertà d’impresa. Statuto delle imprese</w:t>
      </w:r>
      <w:r w:rsidR="00A86EEF">
        <w:rPr>
          <w:szCs w:val="24"/>
        </w:rPr>
        <w:t>”</w:t>
      </w:r>
      <w:r w:rsidR="00B30A15" w:rsidRPr="004C6BBC">
        <w:rPr>
          <w:szCs w:val="24"/>
        </w:rPr>
        <w:t>;</w:t>
      </w:r>
    </w:p>
    <w:p w:rsidR="00686C56" w:rsidRDefault="00686C56" w:rsidP="00A747B4">
      <w:pPr>
        <w:tabs>
          <w:tab w:val="left" w:pos="3947"/>
        </w:tabs>
        <w:spacing w:after="120"/>
        <w:ind w:firstLine="284"/>
        <w:rPr>
          <w:szCs w:val="24"/>
        </w:rPr>
      </w:pPr>
      <w:r w:rsidRPr="004C6BBC">
        <w:rPr>
          <w:szCs w:val="24"/>
        </w:rPr>
        <w:t xml:space="preserve">CONSIDERATO l’Accordo Internazionale sull’olio d’oliva e le olive da </w:t>
      </w:r>
      <w:r w:rsidR="00B30A15" w:rsidRPr="004C6BBC">
        <w:rPr>
          <w:szCs w:val="24"/>
        </w:rPr>
        <w:t>tavola</w:t>
      </w:r>
      <w:r w:rsidR="00607EDD">
        <w:rPr>
          <w:szCs w:val="24"/>
        </w:rPr>
        <w:t xml:space="preserve"> </w:t>
      </w:r>
      <w:r w:rsidR="00B30A15" w:rsidRPr="004C6BBC">
        <w:rPr>
          <w:szCs w:val="24"/>
        </w:rPr>
        <w:t>siglato a Ginevra il 29 aprile 2005 tra</w:t>
      </w:r>
      <w:r w:rsidR="00D4073D" w:rsidRPr="004C6BBC">
        <w:rPr>
          <w:szCs w:val="24"/>
        </w:rPr>
        <w:t xml:space="preserve"> il Consiglio Oleicolo Internazionale e i Paesi membri aderenti </w:t>
      </w:r>
      <w:r w:rsidRPr="004C6BBC">
        <w:rPr>
          <w:szCs w:val="24"/>
        </w:rPr>
        <w:t>ed in particolare l’articolo 36, relativo all’impegno degli Stati membri a fornire tutte le informazioni necessarie allo svolgimento delle funzioni ad esso conferite</w:t>
      </w:r>
      <w:r w:rsidR="00ED3D67">
        <w:rPr>
          <w:szCs w:val="24"/>
        </w:rPr>
        <w:t>;</w:t>
      </w:r>
    </w:p>
    <w:p w:rsidR="00BC7AB9" w:rsidRDefault="00BC7AB9" w:rsidP="00A747B4">
      <w:pPr>
        <w:tabs>
          <w:tab w:val="left" w:pos="3947"/>
        </w:tabs>
        <w:spacing w:after="120"/>
        <w:ind w:firstLine="284"/>
        <w:rPr>
          <w:szCs w:val="24"/>
        </w:rPr>
      </w:pPr>
      <w:r>
        <w:rPr>
          <w:szCs w:val="24"/>
        </w:rPr>
        <w:t>RITENUTO necessario assicurare l’attuazione nazionale delle nuove disposizioni comunitarie;</w:t>
      </w:r>
    </w:p>
    <w:p w:rsidR="00BC7AB9" w:rsidRDefault="00BC7AB9" w:rsidP="00A747B4">
      <w:pPr>
        <w:tabs>
          <w:tab w:val="left" w:pos="3947"/>
        </w:tabs>
        <w:spacing w:after="120"/>
        <w:ind w:firstLine="284"/>
        <w:rPr>
          <w:szCs w:val="24"/>
        </w:rPr>
      </w:pPr>
      <w:r>
        <w:rPr>
          <w:szCs w:val="24"/>
        </w:rPr>
        <w:t>ACQUISITA l’intesa della Conferenza permanente p</w:t>
      </w:r>
      <w:r w:rsidR="00F05A4F">
        <w:rPr>
          <w:szCs w:val="24"/>
        </w:rPr>
        <w:t>er i rapporti fra lo Stato, le Regioni e le P</w:t>
      </w:r>
      <w:r>
        <w:rPr>
          <w:szCs w:val="24"/>
        </w:rPr>
        <w:t>rovince autonome nella seduta del</w:t>
      </w:r>
      <w:r w:rsidR="006D30D0">
        <w:rPr>
          <w:szCs w:val="24"/>
        </w:rPr>
        <w:t>……</w:t>
      </w:r>
    </w:p>
    <w:p w:rsidR="00851B59" w:rsidRDefault="00851B59" w:rsidP="00A747B4">
      <w:pPr>
        <w:tabs>
          <w:tab w:val="left" w:pos="3947"/>
        </w:tabs>
        <w:spacing w:after="120"/>
        <w:rPr>
          <w:szCs w:val="24"/>
        </w:rPr>
      </w:pPr>
    </w:p>
    <w:p w:rsidR="00851B59" w:rsidRDefault="00851B59" w:rsidP="00A747B4">
      <w:pPr>
        <w:spacing w:after="120"/>
        <w:jc w:val="center"/>
        <w:rPr>
          <w:szCs w:val="24"/>
        </w:rPr>
      </w:pPr>
      <w:r w:rsidRPr="00F67894">
        <w:rPr>
          <w:szCs w:val="24"/>
        </w:rPr>
        <w:t>DECRETA</w:t>
      </w:r>
    </w:p>
    <w:p w:rsidR="00851B59" w:rsidRPr="001D6820" w:rsidRDefault="00851B59" w:rsidP="00A747B4">
      <w:pPr>
        <w:spacing w:after="120"/>
        <w:jc w:val="center"/>
        <w:rPr>
          <w:i/>
          <w:szCs w:val="24"/>
        </w:rPr>
      </w:pPr>
      <w:r w:rsidRPr="001D6820">
        <w:rPr>
          <w:i/>
          <w:szCs w:val="24"/>
        </w:rPr>
        <w:t>Art. 1</w:t>
      </w:r>
    </w:p>
    <w:p w:rsidR="00851B59" w:rsidRPr="001D6820" w:rsidRDefault="00851B59" w:rsidP="00A747B4">
      <w:pPr>
        <w:spacing w:after="120"/>
        <w:jc w:val="center"/>
        <w:rPr>
          <w:i/>
          <w:szCs w:val="24"/>
        </w:rPr>
      </w:pPr>
      <w:r w:rsidRPr="001D6820">
        <w:rPr>
          <w:i/>
          <w:szCs w:val="24"/>
        </w:rPr>
        <w:t>(</w:t>
      </w:r>
      <w:r w:rsidR="00E323EE">
        <w:rPr>
          <w:i/>
          <w:szCs w:val="24"/>
        </w:rPr>
        <w:t>C</w:t>
      </w:r>
      <w:r w:rsidR="005612B2" w:rsidRPr="001D6820">
        <w:rPr>
          <w:i/>
          <w:szCs w:val="24"/>
        </w:rPr>
        <w:t>ampo di applicazione</w:t>
      </w:r>
      <w:r w:rsidRPr="001D6820">
        <w:rPr>
          <w:i/>
          <w:szCs w:val="24"/>
        </w:rPr>
        <w:t>)</w:t>
      </w:r>
    </w:p>
    <w:p w:rsidR="005612B2" w:rsidRPr="000B76B4" w:rsidRDefault="005612B2" w:rsidP="00FC2471">
      <w:pPr>
        <w:numPr>
          <w:ilvl w:val="0"/>
          <w:numId w:val="3"/>
        </w:numPr>
        <w:spacing w:after="120"/>
        <w:ind w:left="426" w:hanging="426"/>
        <w:rPr>
          <w:szCs w:val="24"/>
        </w:rPr>
      </w:pPr>
      <w:r w:rsidRPr="000B76B4">
        <w:rPr>
          <w:szCs w:val="24"/>
        </w:rPr>
        <w:t>Il presente decreto disciplina i</w:t>
      </w:r>
      <w:r w:rsidR="00607EDD">
        <w:rPr>
          <w:szCs w:val="24"/>
        </w:rPr>
        <w:t xml:space="preserve"> </w:t>
      </w:r>
      <w:r w:rsidR="00851B59" w:rsidRPr="000B76B4">
        <w:rPr>
          <w:szCs w:val="24"/>
        </w:rPr>
        <w:t xml:space="preserve">controlli previsti dal regolamento (CEE) n. 2568/91 </w:t>
      </w:r>
      <w:r w:rsidR="00A86EEF">
        <w:rPr>
          <w:szCs w:val="24"/>
        </w:rPr>
        <w:t>della C</w:t>
      </w:r>
      <w:r w:rsidR="00ED3D67">
        <w:rPr>
          <w:szCs w:val="24"/>
        </w:rPr>
        <w:t>ommissione dell’11 luglio 1991,</w:t>
      </w:r>
      <w:r w:rsidR="00607EDD">
        <w:rPr>
          <w:szCs w:val="24"/>
        </w:rPr>
        <w:t xml:space="preserve"> </w:t>
      </w:r>
      <w:r w:rsidR="00851B59" w:rsidRPr="000B76B4">
        <w:rPr>
          <w:szCs w:val="24"/>
        </w:rPr>
        <w:t>relativo alle caratteristiche degli oli d’oliva e degli oli di sansa d’oliva, nonché ai metodi ad essi attinenti, come modificato dal regolamento di esecuzione (UE) n</w:t>
      </w:r>
      <w:r w:rsidRPr="000B76B4">
        <w:rPr>
          <w:szCs w:val="24"/>
        </w:rPr>
        <w:t xml:space="preserve">. 299/2013 </w:t>
      </w:r>
      <w:r w:rsidR="00851B59" w:rsidRPr="000B76B4">
        <w:rPr>
          <w:szCs w:val="24"/>
        </w:rPr>
        <w:t xml:space="preserve">della Commissione del </w:t>
      </w:r>
      <w:r w:rsidRPr="000B76B4">
        <w:rPr>
          <w:szCs w:val="24"/>
        </w:rPr>
        <w:t>26 marzo 2013.</w:t>
      </w:r>
    </w:p>
    <w:p w:rsidR="00851B59" w:rsidRDefault="005612B2" w:rsidP="00FC2471">
      <w:pPr>
        <w:numPr>
          <w:ilvl w:val="0"/>
          <w:numId w:val="3"/>
        </w:numPr>
        <w:spacing w:after="120"/>
        <w:ind w:left="426" w:hanging="426"/>
        <w:rPr>
          <w:szCs w:val="24"/>
        </w:rPr>
      </w:pPr>
      <w:r w:rsidRPr="000B76B4">
        <w:rPr>
          <w:szCs w:val="24"/>
        </w:rPr>
        <w:t>I controlli di cui al comma 1</w:t>
      </w:r>
      <w:r w:rsidR="00851B59" w:rsidRPr="000B76B4">
        <w:rPr>
          <w:szCs w:val="24"/>
        </w:rPr>
        <w:t xml:space="preserve"> sono effettuati dal Ministero delle politiche agricole alimentari e forestali </w:t>
      </w:r>
      <w:r w:rsidR="00ED3D67">
        <w:rPr>
          <w:szCs w:val="24"/>
        </w:rPr>
        <w:t xml:space="preserve">- </w:t>
      </w:r>
      <w:r w:rsidR="00851B59" w:rsidRPr="000B76B4">
        <w:rPr>
          <w:szCs w:val="24"/>
        </w:rPr>
        <w:t>Ispettorato centrale della tutela della qualità e repressione frodi dei prodotti agroalimentari</w:t>
      </w:r>
      <w:r w:rsidR="007622AA" w:rsidRPr="000B76B4">
        <w:rPr>
          <w:szCs w:val="24"/>
        </w:rPr>
        <w:t>, che può avvalersi della collaborazione degli altri Organi di controllo operanti nell’ambito del Ministero</w:t>
      </w:r>
      <w:r w:rsidR="00851B59" w:rsidRPr="000B76B4">
        <w:rPr>
          <w:szCs w:val="24"/>
        </w:rPr>
        <w:t>.</w:t>
      </w:r>
    </w:p>
    <w:p w:rsidR="00E323EE" w:rsidRDefault="00E323EE" w:rsidP="00A747B4">
      <w:pPr>
        <w:spacing w:after="120"/>
        <w:ind w:left="142"/>
        <w:jc w:val="center"/>
        <w:rPr>
          <w:i/>
          <w:szCs w:val="24"/>
        </w:rPr>
      </w:pPr>
    </w:p>
    <w:p w:rsidR="005612B2" w:rsidRPr="001D6820" w:rsidRDefault="005612B2" w:rsidP="00A747B4">
      <w:pPr>
        <w:spacing w:after="120"/>
        <w:ind w:left="142"/>
        <w:jc w:val="center"/>
        <w:rPr>
          <w:i/>
          <w:szCs w:val="24"/>
        </w:rPr>
      </w:pPr>
      <w:r w:rsidRPr="001D6820">
        <w:rPr>
          <w:i/>
          <w:szCs w:val="24"/>
        </w:rPr>
        <w:t>Art. 2</w:t>
      </w:r>
    </w:p>
    <w:p w:rsidR="005612B2" w:rsidRDefault="005612B2" w:rsidP="00A747B4">
      <w:pPr>
        <w:spacing w:after="120"/>
        <w:ind w:left="142"/>
        <w:jc w:val="center"/>
        <w:rPr>
          <w:i/>
          <w:szCs w:val="24"/>
        </w:rPr>
      </w:pPr>
      <w:r w:rsidRPr="001D6820">
        <w:rPr>
          <w:i/>
          <w:szCs w:val="24"/>
        </w:rPr>
        <w:t>(Definizioni)</w:t>
      </w:r>
    </w:p>
    <w:p w:rsidR="005612B2" w:rsidRPr="00FC2471" w:rsidRDefault="005612B2" w:rsidP="00FC2471">
      <w:pPr>
        <w:pStyle w:val="Paragrafoelenco"/>
        <w:numPr>
          <w:ilvl w:val="0"/>
          <w:numId w:val="35"/>
        </w:numPr>
        <w:tabs>
          <w:tab w:val="left" w:pos="0"/>
        </w:tabs>
        <w:spacing w:after="120"/>
        <w:ind w:left="426" w:hanging="426"/>
        <w:rPr>
          <w:sz w:val="24"/>
          <w:szCs w:val="24"/>
        </w:rPr>
      </w:pPr>
      <w:r w:rsidRPr="00FC2471">
        <w:rPr>
          <w:sz w:val="24"/>
          <w:szCs w:val="24"/>
        </w:rPr>
        <w:t>Ai fini dell’applicazione del presente decreto, si intende per :</w:t>
      </w:r>
    </w:p>
    <w:p w:rsidR="005612B2" w:rsidRPr="00F22CD9" w:rsidRDefault="005612B2" w:rsidP="00A747B4">
      <w:pPr>
        <w:pStyle w:val="Paragrafoelenco"/>
        <w:numPr>
          <w:ilvl w:val="0"/>
          <w:numId w:val="12"/>
        </w:numPr>
        <w:spacing w:after="120"/>
        <w:ind w:left="567"/>
        <w:rPr>
          <w:sz w:val="24"/>
          <w:szCs w:val="24"/>
        </w:rPr>
      </w:pPr>
      <w:r w:rsidRPr="00F22CD9">
        <w:rPr>
          <w:sz w:val="24"/>
          <w:szCs w:val="24"/>
        </w:rPr>
        <w:t xml:space="preserve">«frantoio», l’impresa che esercita l’attività di molitura delle olive; </w:t>
      </w:r>
    </w:p>
    <w:p w:rsidR="005612B2" w:rsidRPr="00F22CD9" w:rsidRDefault="005612B2" w:rsidP="00A747B4">
      <w:pPr>
        <w:pStyle w:val="Paragrafoelenco"/>
        <w:numPr>
          <w:ilvl w:val="0"/>
          <w:numId w:val="12"/>
        </w:numPr>
        <w:spacing w:after="120"/>
        <w:ind w:left="567"/>
        <w:jc w:val="both"/>
        <w:rPr>
          <w:sz w:val="24"/>
          <w:szCs w:val="24"/>
        </w:rPr>
      </w:pPr>
      <w:r w:rsidRPr="00F22CD9">
        <w:rPr>
          <w:sz w:val="24"/>
          <w:szCs w:val="24"/>
        </w:rPr>
        <w:t xml:space="preserve">«impresa di condizionamento», l’impresa che procede al confezionamento degli oli di cui al punto 1, lettere a) e b), e ai punti 3 e 6 dell’Allegato XVI del regolamento (CE) n. 1234/2007; </w:t>
      </w:r>
    </w:p>
    <w:p w:rsidR="005612B2" w:rsidRPr="00F22CD9" w:rsidRDefault="005612B2" w:rsidP="00A747B4">
      <w:pPr>
        <w:pStyle w:val="Paragrafoelenco"/>
        <w:numPr>
          <w:ilvl w:val="0"/>
          <w:numId w:val="12"/>
        </w:numPr>
        <w:spacing w:after="120"/>
        <w:ind w:left="567"/>
        <w:jc w:val="both"/>
        <w:rPr>
          <w:sz w:val="24"/>
          <w:szCs w:val="24"/>
        </w:rPr>
      </w:pPr>
      <w:r w:rsidRPr="00F22CD9">
        <w:rPr>
          <w:sz w:val="24"/>
          <w:szCs w:val="24"/>
        </w:rPr>
        <w:t xml:space="preserve">«commerciante di olio sfuso», </w:t>
      </w:r>
      <w:r w:rsidR="00BC7B48">
        <w:rPr>
          <w:sz w:val="24"/>
          <w:szCs w:val="24"/>
        </w:rPr>
        <w:t xml:space="preserve">chiunque </w:t>
      </w:r>
      <w:r w:rsidRPr="00F22CD9">
        <w:rPr>
          <w:sz w:val="24"/>
          <w:szCs w:val="24"/>
        </w:rPr>
        <w:t>vende allo stato sfuso uno o più oli di cui all’Allegato XVI del regolamento (CE) n. 1234/2007;</w:t>
      </w:r>
    </w:p>
    <w:p w:rsidR="005612B2" w:rsidRPr="00F22CD9" w:rsidRDefault="005612B2" w:rsidP="00A747B4">
      <w:pPr>
        <w:pStyle w:val="Paragrafoelenco"/>
        <w:numPr>
          <w:ilvl w:val="0"/>
          <w:numId w:val="12"/>
        </w:numPr>
        <w:spacing w:after="120"/>
        <w:ind w:left="567"/>
        <w:jc w:val="both"/>
        <w:rPr>
          <w:sz w:val="24"/>
          <w:szCs w:val="24"/>
        </w:rPr>
      </w:pPr>
      <w:r w:rsidRPr="00F22CD9">
        <w:rPr>
          <w:sz w:val="24"/>
          <w:szCs w:val="24"/>
        </w:rPr>
        <w:t>«raffineria», impresa con impianti per la produzione di olio di oliva raffinato o di olio di sansa di oliva raffinato secondo le definizioni di cui ai punti 2 e 5 dell’Allegato XVI del regolamento (CE) n. 1234/2007;</w:t>
      </w:r>
    </w:p>
    <w:p w:rsidR="00E323EE" w:rsidRDefault="005612B2" w:rsidP="00A747B4">
      <w:pPr>
        <w:pStyle w:val="Paragrafoelenco"/>
        <w:numPr>
          <w:ilvl w:val="0"/>
          <w:numId w:val="12"/>
        </w:numPr>
        <w:spacing w:after="120"/>
        <w:ind w:left="567"/>
        <w:jc w:val="both"/>
        <w:rPr>
          <w:sz w:val="24"/>
          <w:szCs w:val="24"/>
        </w:rPr>
      </w:pPr>
      <w:r w:rsidRPr="00E323EE">
        <w:rPr>
          <w:sz w:val="24"/>
          <w:szCs w:val="24"/>
        </w:rPr>
        <w:t>«contoterzista», impresa che effettua la produzione, la lavorazione e\o il deposito di olio per conto terzi;</w:t>
      </w:r>
    </w:p>
    <w:p w:rsidR="00E323EE" w:rsidRPr="001949C1" w:rsidRDefault="00E323EE" w:rsidP="00E323EE">
      <w:pPr>
        <w:pStyle w:val="Paragrafoelenco"/>
        <w:numPr>
          <w:ilvl w:val="0"/>
          <w:numId w:val="12"/>
        </w:numPr>
        <w:spacing w:after="120"/>
        <w:ind w:left="567"/>
        <w:jc w:val="both"/>
        <w:rPr>
          <w:sz w:val="24"/>
          <w:szCs w:val="24"/>
        </w:rPr>
      </w:pPr>
      <w:r w:rsidRPr="001949C1">
        <w:rPr>
          <w:sz w:val="24"/>
          <w:szCs w:val="24"/>
        </w:rPr>
        <w:t xml:space="preserve">«commerciante di sansa», impresa che effettua l’acquisto e la vendita di sansa destinata alla produzione di olio; </w:t>
      </w:r>
    </w:p>
    <w:p w:rsidR="001D160A" w:rsidRPr="00E323EE" w:rsidRDefault="005612B2" w:rsidP="00A747B4">
      <w:pPr>
        <w:pStyle w:val="Paragrafoelenco"/>
        <w:numPr>
          <w:ilvl w:val="0"/>
          <w:numId w:val="12"/>
        </w:numPr>
        <w:spacing w:after="120"/>
        <w:ind w:left="567"/>
        <w:jc w:val="both"/>
        <w:rPr>
          <w:sz w:val="24"/>
          <w:szCs w:val="24"/>
        </w:rPr>
      </w:pPr>
      <w:r w:rsidRPr="00E323EE">
        <w:rPr>
          <w:sz w:val="24"/>
          <w:szCs w:val="24"/>
        </w:rPr>
        <w:lastRenderedPageBreak/>
        <w:t>«sansificio», impresa che lavora la sansa al fine di ottenere l’olio di sansa di oliva greggio</w:t>
      </w:r>
      <w:r w:rsidR="00675346" w:rsidRPr="00E323EE">
        <w:rPr>
          <w:sz w:val="24"/>
          <w:szCs w:val="24"/>
        </w:rPr>
        <w:t>;</w:t>
      </w:r>
    </w:p>
    <w:p w:rsidR="00510589" w:rsidRPr="009746E1" w:rsidRDefault="005612B2" w:rsidP="00A747B4">
      <w:pPr>
        <w:pStyle w:val="Paragrafoelenco"/>
        <w:numPr>
          <w:ilvl w:val="0"/>
          <w:numId w:val="12"/>
        </w:numPr>
        <w:spacing w:after="120"/>
        <w:ind w:left="567"/>
        <w:jc w:val="both"/>
        <w:rPr>
          <w:sz w:val="24"/>
          <w:szCs w:val="24"/>
        </w:rPr>
      </w:pPr>
      <w:r w:rsidRPr="00CA1535">
        <w:rPr>
          <w:sz w:val="24"/>
          <w:szCs w:val="24"/>
        </w:rPr>
        <w:t>«</w:t>
      </w:r>
      <w:r w:rsidRPr="009746E1">
        <w:rPr>
          <w:sz w:val="24"/>
          <w:szCs w:val="24"/>
        </w:rPr>
        <w:t>oli», gli oli di cui all’allegato XVI del Reg.(CE) n. 1234/2007</w:t>
      </w:r>
      <w:r w:rsidR="001D6820" w:rsidRPr="009746E1">
        <w:rPr>
          <w:sz w:val="24"/>
          <w:szCs w:val="24"/>
        </w:rPr>
        <w:t>;</w:t>
      </w:r>
    </w:p>
    <w:p w:rsidR="00CA1535" w:rsidRPr="009746E1" w:rsidRDefault="000C3542" w:rsidP="00A747B4">
      <w:pPr>
        <w:pStyle w:val="Paragrafoelenco"/>
        <w:numPr>
          <w:ilvl w:val="0"/>
          <w:numId w:val="12"/>
        </w:numPr>
        <w:spacing w:after="120"/>
        <w:ind w:left="567"/>
        <w:jc w:val="both"/>
        <w:rPr>
          <w:sz w:val="24"/>
          <w:szCs w:val="24"/>
        </w:rPr>
      </w:pPr>
      <w:r w:rsidRPr="009746E1">
        <w:rPr>
          <w:sz w:val="24"/>
          <w:szCs w:val="24"/>
        </w:rPr>
        <w:t>«</w:t>
      </w:r>
      <w:r w:rsidR="00CA1535" w:rsidRPr="009746E1">
        <w:rPr>
          <w:sz w:val="24"/>
          <w:szCs w:val="24"/>
        </w:rPr>
        <w:t>operatori</w:t>
      </w:r>
      <w:r w:rsidRPr="009746E1">
        <w:rPr>
          <w:sz w:val="24"/>
          <w:szCs w:val="24"/>
        </w:rPr>
        <w:t>»,</w:t>
      </w:r>
      <w:r w:rsidR="00CA1535" w:rsidRPr="009746E1">
        <w:rPr>
          <w:sz w:val="24"/>
          <w:szCs w:val="24"/>
        </w:rPr>
        <w:t xml:space="preserve"> le imprese  indicate dalla lettera a) alla lettera </w:t>
      </w:r>
      <w:r w:rsidR="00750F92" w:rsidRPr="001949C1">
        <w:rPr>
          <w:sz w:val="24"/>
          <w:szCs w:val="24"/>
        </w:rPr>
        <w:t>g)</w:t>
      </w:r>
      <w:r w:rsidR="00750F92">
        <w:rPr>
          <w:sz w:val="24"/>
          <w:szCs w:val="24"/>
        </w:rPr>
        <w:t xml:space="preserve"> </w:t>
      </w:r>
      <w:r w:rsidR="00CA1535" w:rsidRPr="009746E1">
        <w:rPr>
          <w:sz w:val="24"/>
          <w:szCs w:val="24"/>
        </w:rPr>
        <w:t xml:space="preserve"> del presente articolo;</w:t>
      </w:r>
    </w:p>
    <w:p w:rsidR="005612B2" w:rsidRPr="009746E1" w:rsidRDefault="008A234F" w:rsidP="00A747B4">
      <w:pPr>
        <w:pStyle w:val="Paragrafoelenco"/>
        <w:numPr>
          <w:ilvl w:val="0"/>
          <w:numId w:val="12"/>
        </w:numPr>
        <w:spacing w:after="120"/>
        <w:ind w:left="567"/>
        <w:jc w:val="both"/>
        <w:rPr>
          <w:sz w:val="24"/>
          <w:szCs w:val="24"/>
        </w:rPr>
      </w:pPr>
      <w:r w:rsidRPr="009746E1">
        <w:rPr>
          <w:sz w:val="24"/>
          <w:szCs w:val="24"/>
        </w:rPr>
        <w:t>«</w:t>
      </w:r>
      <w:r w:rsidR="00343F36" w:rsidRPr="00343F36">
        <w:rPr>
          <w:sz w:val="24"/>
          <w:szCs w:val="24"/>
        </w:rPr>
        <w:t>r</w:t>
      </w:r>
      <w:r w:rsidR="005612B2" w:rsidRPr="00343F36">
        <w:rPr>
          <w:sz w:val="24"/>
          <w:szCs w:val="24"/>
        </w:rPr>
        <w:t>egolamento</w:t>
      </w:r>
      <w:r w:rsidR="005612B2" w:rsidRPr="009746E1">
        <w:rPr>
          <w:sz w:val="24"/>
          <w:szCs w:val="24"/>
        </w:rPr>
        <w:t xml:space="preserve">», il regolamento </w:t>
      </w:r>
      <w:r w:rsidR="001D6820" w:rsidRPr="009746E1">
        <w:rPr>
          <w:sz w:val="24"/>
          <w:szCs w:val="24"/>
        </w:rPr>
        <w:t xml:space="preserve">(CEE) n. </w:t>
      </w:r>
      <w:r w:rsidR="008867D9" w:rsidRPr="009746E1">
        <w:rPr>
          <w:sz w:val="24"/>
          <w:szCs w:val="24"/>
        </w:rPr>
        <w:t>2568/91 della Commissione dell'11 luglio 1991 relativo alle caratteristiche degli oli d'oliva e degli oli di sansa d'oliva nonché ai metodi ad essi attinenti come modificato da ultimo dal regolamento di esecuzione (UE) n. 299/2013 della Commissione del 26 marzo 2013</w:t>
      </w:r>
      <w:r w:rsidR="00675346" w:rsidRPr="009746E1">
        <w:rPr>
          <w:sz w:val="24"/>
          <w:szCs w:val="24"/>
        </w:rPr>
        <w:t>;</w:t>
      </w:r>
    </w:p>
    <w:p w:rsidR="00B90720" w:rsidRPr="009746E1" w:rsidRDefault="00B90720" w:rsidP="00A747B4">
      <w:pPr>
        <w:pStyle w:val="Paragrafoelenco"/>
        <w:numPr>
          <w:ilvl w:val="0"/>
          <w:numId w:val="12"/>
        </w:numPr>
        <w:spacing w:after="120"/>
        <w:ind w:left="567"/>
        <w:jc w:val="both"/>
        <w:rPr>
          <w:sz w:val="24"/>
          <w:szCs w:val="24"/>
        </w:rPr>
      </w:pPr>
      <w:r w:rsidRPr="009746E1">
        <w:rPr>
          <w:sz w:val="24"/>
          <w:szCs w:val="24"/>
        </w:rPr>
        <w:t xml:space="preserve">«Ministero», </w:t>
      </w:r>
      <w:r w:rsidRPr="00E701E9">
        <w:rPr>
          <w:sz w:val="24"/>
          <w:szCs w:val="24"/>
        </w:rPr>
        <w:t xml:space="preserve">il </w:t>
      </w:r>
      <w:r w:rsidR="00F05A4F" w:rsidRPr="00E701E9">
        <w:rPr>
          <w:sz w:val="24"/>
          <w:szCs w:val="24"/>
        </w:rPr>
        <w:t>Ministero delle politiche agricole alimentari e forestali</w:t>
      </w:r>
      <w:r w:rsidRPr="009746E1">
        <w:rPr>
          <w:sz w:val="24"/>
          <w:szCs w:val="24"/>
        </w:rPr>
        <w:t>;</w:t>
      </w:r>
    </w:p>
    <w:p w:rsidR="009746E1" w:rsidRPr="009746E1" w:rsidRDefault="005612B2" w:rsidP="00A747B4">
      <w:pPr>
        <w:pStyle w:val="Paragrafoelenco"/>
        <w:numPr>
          <w:ilvl w:val="0"/>
          <w:numId w:val="12"/>
        </w:numPr>
        <w:tabs>
          <w:tab w:val="left" w:pos="284"/>
        </w:tabs>
        <w:spacing w:after="120"/>
        <w:ind w:left="567"/>
        <w:jc w:val="both"/>
        <w:rPr>
          <w:sz w:val="24"/>
          <w:szCs w:val="24"/>
        </w:rPr>
      </w:pPr>
      <w:r w:rsidRPr="009746E1">
        <w:rPr>
          <w:sz w:val="24"/>
          <w:szCs w:val="24"/>
        </w:rPr>
        <w:t>«ICQRF», il</w:t>
      </w:r>
      <w:r w:rsidR="008A234F" w:rsidRPr="009746E1">
        <w:rPr>
          <w:sz w:val="24"/>
          <w:szCs w:val="24"/>
        </w:rPr>
        <w:t xml:space="preserve"> Dipartimento dell’Ispettorato centrale della tutela della qualità e repressione frodi dei prodotti agro-alimentari</w:t>
      </w:r>
      <w:r w:rsidR="00675346" w:rsidRPr="009746E1">
        <w:rPr>
          <w:sz w:val="24"/>
          <w:szCs w:val="24"/>
        </w:rPr>
        <w:t>;</w:t>
      </w:r>
    </w:p>
    <w:p w:rsidR="009746E1" w:rsidRPr="009746E1" w:rsidRDefault="00F05A4F" w:rsidP="00A747B4">
      <w:pPr>
        <w:pStyle w:val="Paragrafoelenco"/>
        <w:numPr>
          <w:ilvl w:val="0"/>
          <w:numId w:val="12"/>
        </w:numPr>
        <w:tabs>
          <w:tab w:val="left" w:pos="284"/>
        </w:tabs>
        <w:spacing w:after="120"/>
        <w:ind w:left="567"/>
        <w:jc w:val="both"/>
        <w:rPr>
          <w:sz w:val="24"/>
          <w:szCs w:val="24"/>
        </w:rPr>
      </w:pPr>
      <w:r w:rsidRPr="009746E1">
        <w:rPr>
          <w:sz w:val="24"/>
          <w:szCs w:val="24"/>
        </w:rPr>
        <w:t>«</w:t>
      </w:r>
      <w:r w:rsidR="005612B2" w:rsidRPr="009746E1">
        <w:rPr>
          <w:sz w:val="24"/>
          <w:szCs w:val="24"/>
        </w:rPr>
        <w:t>AGEA»,  l’</w:t>
      </w:r>
      <w:r w:rsidR="00F22CD9" w:rsidRPr="009746E1">
        <w:rPr>
          <w:sz w:val="24"/>
          <w:szCs w:val="24"/>
        </w:rPr>
        <w:t>Agenzia pe</w:t>
      </w:r>
      <w:r w:rsidR="009746E1" w:rsidRPr="009746E1">
        <w:rPr>
          <w:sz w:val="24"/>
          <w:szCs w:val="24"/>
        </w:rPr>
        <w:t>r le Erogazioni  in Agricoltura;</w:t>
      </w:r>
    </w:p>
    <w:p w:rsidR="009746E1" w:rsidRDefault="009746E1" w:rsidP="00A747B4">
      <w:pPr>
        <w:pStyle w:val="Paragrafoelenco"/>
        <w:numPr>
          <w:ilvl w:val="0"/>
          <w:numId w:val="12"/>
        </w:numPr>
        <w:tabs>
          <w:tab w:val="left" w:pos="284"/>
        </w:tabs>
        <w:spacing w:after="120"/>
        <w:ind w:left="567"/>
        <w:jc w:val="both"/>
        <w:rPr>
          <w:sz w:val="24"/>
          <w:szCs w:val="24"/>
        </w:rPr>
      </w:pPr>
      <w:r w:rsidRPr="00E701E9">
        <w:rPr>
          <w:sz w:val="24"/>
          <w:szCs w:val="24"/>
        </w:rPr>
        <w:t>«SIAN»,  Sistema Informativo Agricolo Nazionale</w:t>
      </w:r>
      <w:r w:rsidR="00536CC6">
        <w:rPr>
          <w:sz w:val="24"/>
          <w:szCs w:val="24"/>
        </w:rPr>
        <w:t>;</w:t>
      </w:r>
    </w:p>
    <w:p w:rsidR="005C1900" w:rsidRDefault="005C1900" w:rsidP="00A747B4">
      <w:pPr>
        <w:tabs>
          <w:tab w:val="left" w:pos="284"/>
        </w:tabs>
        <w:spacing w:after="120"/>
        <w:ind w:left="426"/>
        <w:jc w:val="center"/>
        <w:rPr>
          <w:szCs w:val="24"/>
        </w:rPr>
      </w:pPr>
    </w:p>
    <w:p w:rsidR="000C3542" w:rsidRPr="00F67894" w:rsidRDefault="000C3542" w:rsidP="00A747B4">
      <w:pPr>
        <w:tabs>
          <w:tab w:val="left" w:pos="284"/>
        </w:tabs>
        <w:spacing w:after="120"/>
        <w:ind w:left="426"/>
        <w:jc w:val="center"/>
        <w:rPr>
          <w:szCs w:val="24"/>
        </w:rPr>
      </w:pPr>
      <w:r>
        <w:rPr>
          <w:szCs w:val="24"/>
        </w:rPr>
        <w:t>Art. 3</w:t>
      </w:r>
    </w:p>
    <w:p w:rsidR="000C3542" w:rsidRDefault="000C3542" w:rsidP="00A747B4">
      <w:pPr>
        <w:tabs>
          <w:tab w:val="left" w:pos="284"/>
        </w:tabs>
        <w:spacing w:after="120"/>
        <w:jc w:val="center"/>
        <w:rPr>
          <w:szCs w:val="24"/>
        </w:rPr>
      </w:pPr>
      <w:r>
        <w:rPr>
          <w:szCs w:val="24"/>
        </w:rPr>
        <w:t>(</w:t>
      </w:r>
      <w:r w:rsidR="00E323EE">
        <w:rPr>
          <w:szCs w:val="24"/>
        </w:rPr>
        <w:t>C</w:t>
      </w:r>
      <w:r w:rsidRPr="00A747B4">
        <w:rPr>
          <w:i/>
          <w:szCs w:val="24"/>
        </w:rPr>
        <w:t>riteri di determinazione del rischio</w:t>
      </w:r>
      <w:r>
        <w:rPr>
          <w:szCs w:val="24"/>
        </w:rPr>
        <w:t>)</w:t>
      </w:r>
    </w:p>
    <w:p w:rsidR="000C3542" w:rsidRDefault="000C3542" w:rsidP="00A747B4">
      <w:pPr>
        <w:numPr>
          <w:ilvl w:val="0"/>
          <w:numId w:val="2"/>
        </w:numPr>
        <w:spacing w:after="120"/>
        <w:ind w:left="284" w:hanging="284"/>
        <w:rPr>
          <w:szCs w:val="24"/>
        </w:rPr>
      </w:pPr>
      <w:r>
        <w:rPr>
          <w:szCs w:val="24"/>
        </w:rPr>
        <w:t>La frequenza dei controlli di conformità degli oli alla categoria merceologi</w:t>
      </w:r>
      <w:r w:rsidR="00750F92" w:rsidRPr="001949C1">
        <w:rPr>
          <w:szCs w:val="24"/>
        </w:rPr>
        <w:t>ca</w:t>
      </w:r>
      <w:r>
        <w:rPr>
          <w:szCs w:val="24"/>
        </w:rPr>
        <w:t xml:space="preserve"> dichiarata, di cui all’articolo 2 bis, paragrafo 2 del regolamento, deve essere regolare e proporzionata al rischio.</w:t>
      </w:r>
    </w:p>
    <w:p w:rsidR="000C3542" w:rsidRPr="00DF1523" w:rsidRDefault="009746E1" w:rsidP="00A747B4">
      <w:pPr>
        <w:numPr>
          <w:ilvl w:val="0"/>
          <w:numId w:val="2"/>
        </w:numPr>
        <w:spacing w:after="120"/>
        <w:ind w:left="284" w:hanging="284"/>
        <w:rPr>
          <w:szCs w:val="24"/>
        </w:rPr>
      </w:pPr>
      <w:r w:rsidRPr="00E701E9">
        <w:rPr>
          <w:szCs w:val="24"/>
        </w:rPr>
        <w:t>L’analisi del rischio, così come il</w:t>
      </w:r>
      <w:r w:rsidR="001949C1">
        <w:rPr>
          <w:szCs w:val="24"/>
        </w:rPr>
        <w:t xml:space="preserve"> </w:t>
      </w:r>
      <w:r w:rsidR="000C3542" w:rsidRPr="00DF1523">
        <w:rPr>
          <w:szCs w:val="24"/>
        </w:rPr>
        <w:t>rischio di non conformità delle partite, di cui all’articolo 2</w:t>
      </w:r>
      <w:r w:rsidR="000C3542">
        <w:rPr>
          <w:szCs w:val="24"/>
        </w:rPr>
        <w:t xml:space="preserve"> bis</w:t>
      </w:r>
      <w:r w:rsidR="000C3542" w:rsidRPr="00DF1523">
        <w:rPr>
          <w:szCs w:val="24"/>
        </w:rPr>
        <w:t>, paragrafo 4, lettera a) del regolamento, è determinato sulla base d</w:t>
      </w:r>
      <w:r w:rsidR="000C3542">
        <w:rPr>
          <w:szCs w:val="24"/>
        </w:rPr>
        <w:t>ell’</w:t>
      </w:r>
      <w:r w:rsidR="000C3542" w:rsidRPr="00DF1523">
        <w:rPr>
          <w:szCs w:val="24"/>
        </w:rPr>
        <w:t>analisi effettuata sia sugli operatori</w:t>
      </w:r>
      <w:r w:rsidR="001949C1">
        <w:rPr>
          <w:szCs w:val="24"/>
        </w:rPr>
        <w:t xml:space="preserve"> </w:t>
      </w:r>
      <w:r w:rsidR="000C3542" w:rsidRPr="00DF1523">
        <w:rPr>
          <w:szCs w:val="24"/>
        </w:rPr>
        <w:t>coinvolti nella trasformazione, condizionamento e commercializzazione degli ol</w:t>
      </w:r>
      <w:r w:rsidR="002C6E61">
        <w:rPr>
          <w:szCs w:val="24"/>
        </w:rPr>
        <w:t xml:space="preserve">i </w:t>
      </w:r>
      <w:r w:rsidR="000C3542" w:rsidRPr="00DF1523">
        <w:rPr>
          <w:szCs w:val="24"/>
        </w:rPr>
        <w:t>che</w:t>
      </w:r>
      <w:r w:rsidR="001949C1">
        <w:rPr>
          <w:szCs w:val="24"/>
        </w:rPr>
        <w:t xml:space="preserve"> </w:t>
      </w:r>
      <w:r w:rsidR="000C3542" w:rsidRPr="00DF1523">
        <w:rPr>
          <w:szCs w:val="24"/>
        </w:rPr>
        <w:t>direttamente sulle singole partite di prodotto</w:t>
      </w:r>
      <w:r w:rsidR="000C3542" w:rsidRPr="00661E22">
        <w:rPr>
          <w:szCs w:val="24"/>
        </w:rPr>
        <w:t xml:space="preserve">, </w:t>
      </w:r>
      <w:r w:rsidR="006D0108" w:rsidRPr="00E701E9">
        <w:rPr>
          <w:szCs w:val="24"/>
        </w:rPr>
        <w:t xml:space="preserve">sulla base dei criteri elencati al comma 3 e </w:t>
      </w:r>
      <w:r w:rsidR="000C3542" w:rsidRPr="00E701E9">
        <w:rPr>
          <w:szCs w:val="24"/>
        </w:rPr>
        <w:t>tra quelli</w:t>
      </w:r>
      <w:r w:rsidR="001949C1">
        <w:rPr>
          <w:szCs w:val="24"/>
        </w:rPr>
        <w:t xml:space="preserve"> indicati</w:t>
      </w:r>
      <w:r w:rsidR="000C3542" w:rsidRPr="00E701E9">
        <w:rPr>
          <w:szCs w:val="24"/>
        </w:rPr>
        <w:t xml:space="preserve"> </w:t>
      </w:r>
      <w:r w:rsidR="006D0108" w:rsidRPr="00E701E9">
        <w:rPr>
          <w:szCs w:val="24"/>
        </w:rPr>
        <w:t>ne</w:t>
      </w:r>
      <w:r w:rsidR="000C3542" w:rsidRPr="00E701E9">
        <w:rPr>
          <w:szCs w:val="24"/>
        </w:rPr>
        <w:t>ll’articolo 2 bis, paragrafo 3</w:t>
      </w:r>
      <w:r w:rsidR="002913E2">
        <w:rPr>
          <w:szCs w:val="24"/>
        </w:rPr>
        <w:t>,</w:t>
      </w:r>
      <w:r w:rsidR="000C3542" w:rsidRPr="00E701E9">
        <w:rPr>
          <w:szCs w:val="24"/>
        </w:rPr>
        <w:t xml:space="preserve"> del regolamento</w:t>
      </w:r>
      <w:r w:rsidR="000C3542">
        <w:rPr>
          <w:szCs w:val="24"/>
        </w:rPr>
        <w:t>.</w:t>
      </w:r>
    </w:p>
    <w:p w:rsidR="000C3542" w:rsidRPr="00E701E9" w:rsidRDefault="000C3542" w:rsidP="00A747B4">
      <w:pPr>
        <w:numPr>
          <w:ilvl w:val="0"/>
          <w:numId w:val="2"/>
        </w:numPr>
        <w:spacing w:after="120"/>
        <w:ind w:left="284" w:hanging="284"/>
        <w:rPr>
          <w:szCs w:val="24"/>
        </w:rPr>
      </w:pPr>
      <w:r w:rsidRPr="00182049">
        <w:rPr>
          <w:szCs w:val="24"/>
        </w:rPr>
        <w:t>I criteri per la valutazione del rischio</w:t>
      </w:r>
      <w:r w:rsidRPr="00E701E9">
        <w:rPr>
          <w:szCs w:val="24"/>
        </w:rPr>
        <w:t>, nei limiti della disponibilità delle informazioni, includono:</w:t>
      </w:r>
    </w:p>
    <w:p w:rsidR="000C3542" w:rsidRPr="00E701E9" w:rsidRDefault="000C3542" w:rsidP="00A747B4">
      <w:pPr>
        <w:numPr>
          <w:ilvl w:val="1"/>
          <w:numId w:val="2"/>
        </w:numPr>
        <w:spacing w:after="120"/>
        <w:ind w:left="567" w:hanging="305"/>
        <w:rPr>
          <w:szCs w:val="24"/>
        </w:rPr>
      </w:pPr>
      <w:r w:rsidRPr="00E701E9">
        <w:rPr>
          <w:szCs w:val="24"/>
        </w:rPr>
        <w:t>per gli operatori</w:t>
      </w:r>
      <w:r w:rsidR="00F05A4F" w:rsidRPr="00E701E9">
        <w:rPr>
          <w:szCs w:val="24"/>
        </w:rPr>
        <w:t>:</w:t>
      </w:r>
    </w:p>
    <w:p w:rsidR="000C3542" w:rsidRPr="00A747B4" w:rsidRDefault="000C3542" w:rsidP="00A747B4">
      <w:pPr>
        <w:numPr>
          <w:ilvl w:val="0"/>
          <w:numId w:val="24"/>
        </w:numPr>
        <w:tabs>
          <w:tab w:val="left" w:pos="284"/>
        </w:tabs>
        <w:spacing w:after="120"/>
        <w:ind w:left="709" w:hanging="218"/>
        <w:rPr>
          <w:szCs w:val="24"/>
        </w:rPr>
      </w:pPr>
      <w:r w:rsidRPr="00A747B4">
        <w:rPr>
          <w:szCs w:val="24"/>
        </w:rPr>
        <w:t>i risultati delle pregresse attività di controllo;</w:t>
      </w:r>
    </w:p>
    <w:p w:rsidR="000C3542" w:rsidRPr="00A747B4" w:rsidRDefault="000C3542" w:rsidP="00A747B4">
      <w:pPr>
        <w:numPr>
          <w:ilvl w:val="0"/>
          <w:numId w:val="24"/>
        </w:numPr>
        <w:tabs>
          <w:tab w:val="left" w:pos="284"/>
        </w:tabs>
        <w:spacing w:after="120"/>
        <w:ind w:left="709" w:hanging="218"/>
        <w:rPr>
          <w:szCs w:val="24"/>
        </w:rPr>
      </w:pPr>
      <w:r w:rsidRPr="00A747B4">
        <w:rPr>
          <w:szCs w:val="24"/>
        </w:rPr>
        <w:t xml:space="preserve">le fasi della filiera in cui operano, il volume e il valore del prodotto commercializzato, le tipologie di olio commercializzate (convenzionale, </w:t>
      </w:r>
      <w:r w:rsidR="00481E3A" w:rsidRPr="00A747B4">
        <w:rPr>
          <w:szCs w:val="24"/>
        </w:rPr>
        <w:t>biologico,</w:t>
      </w:r>
      <w:r w:rsidR="00607EDD">
        <w:rPr>
          <w:szCs w:val="24"/>
        </w:rPr>
        <w:t xml:space="preserve"> </w:t>
      </w:r>
      <w:r w:rsidRPr="00A747B4">
        <w:rPr>
          <w:szCs w:val="24"/>
        </w:rPr>
        <w:t>a denominazione di origine, ad in</w:t>
      </w:r>
      <w:r w:rsidR="00E701E9" w:rsidRPr="00A747B4">
        <w:rPr>
          <w:szCs w:val="24"/>
        </w:rPr>
        <w:t>dicazione geografica</w:t>
      </w:r>
      <w:r w:rsidRPr="00A747B4">
        <w:rPr>
          <w:szCs w:val="24"/>
        </w:rPr>
        <w:t>);</w:t>
      </w:r>
    </w:p>
    <w:p w:rsidR="000C3542" w:rsidRPr="000B7E34" w:rsidRDefault="000C3542" w:rsidP="00A747B4">
      <w:pPr>
        <w:numPr>
          <w:ilvl w:val="0"/>
          <w:numId w:val="24"/>
        </w:numPr>
        <w:tabs>
          <w:tab w:val="left" w:pos="284"/>
        </w:tabs>
        <w:spacing w:after="120"/>
        <w:ind w:left="709" w:hanging="218"/>
        <w:rPr>
          <w:szCs w:val="24"/>
        </w:rPr>
      </w:pPr>
      <w:r w:rsidRPr="000B7E34">
        <w:rPr>
          <w:szCs w:val="24"/>
        </w:rPr>
        <w:t>l’affidabilità dei sistemi di tracciabilità, di gestione della qualità e di autocontrollo</w:t>
      </w:r>
      <w:r>
        <w:rPr>
          <w:szCs w:val="24"/>
        </w:rPr>
        <w:t xml:space="preserve"> adottati dagli operatori;</w:t>
      </w:r>
    </w:p>
    <w:p w:rsidR="000C3542" w:rsidRPr="00E701E9" w:rsidRDefault="000C3542" w:rsidP="00A747B4">
      <w:pPr>
        <w:numPr>
          <w:ilvl w:val="1"/>
          <w:numId w:val="2"/>
        </w:numPr>
        <w:spacing w:after="120"/>
        <w:ind w:left="567" w:hanging="306"/>
        <w:rPr>
          <w:szCs w:val="24"/>
        </w:rPr>
      </w:pPr>
      <w:r w:rsidRPr="00E701E9">
        <w:rPr>
          <w:szCs w:val="24"/>
        </w:rPr>
        <w:t>per le partite di prodotto</w:t>
      </w:r>
      <w:r w:rsidR="00F05A4F" w:rsidRPr="00E701E9">
        <w:rPr>
          <w:szCs w:val="24"/>
        </w:rPr>
        <w:t>:</w:t>
      </w:r>
    </w:p>
    <w:p w:rsidR="000C3542" w:rsidRPr="00E701E9" w:rsidRDefault="000C3542" w:rsidP="00A747B4">
      <w:pPr>
        <w:numPr>
          <w:ilvl w:val="0"/>
          <w:numId w:val="24"/>
        </w:numPr>
        <w:tabs>
          <w:tab w:val="left" w:pos="284"/>
        </w:tabs>
        <w:spacing w:after="120"/>
        <w:ind w:left="709" w:hanging="218"/>
        <w:rPr>
          <w:szCs w:val="24"/>
        </w:rPr>
      </w:pPr>
      <w:r w:rsidRPr="00E701E9">
        <w:rPr>
          <w:szCs w:val="24"/>
        </w:rPr>
        <w:t>la categoria di olio, il volume di prodotto, il periodo di produzione, il prezzo (vendita e acquisto);</w:t>
      </w:r>
    </w:p>
    <w:p w:rsidR="000C3542" w:rsidRPr="00E701E9" w:rsidRDefault="000C3542" w:rsidP="00A747B4">
      <w:pPr>
        <w:numPr>
          <w:ilvl w:val="0"/>
          <w:numId w:val="24"/>
        </w:numPr>
        <w:tabs>
          <w:tab w:val="left" w:pos="284"/>
        </w:tabs>
        <w:spacing w:after="120"/>
        <w:ind w:left="709" w:hanging="218"/>
        <w:rPr>
          <w:szCs w:val="24"/>
        </w:rPr>
      </w:pPr>
      <w:r w:rsidRPr="00E701E9">
        <w:rPr>
          <w:szCs w:val="24"/>
        </w:rPr>
        <w:t>la presentazione del prodotto (confezionato, sfuso)</w:t>
      </w:r>
      <w:r w:rsidR="00ED3D67">
        <w:rPr>
          <w:szCs w:val="24"/>
        </w:rPr>
        <w:t>;</w:t>
      </w:r>
    </w:p>
    <w:p w:rsidR="000C3542" w:rsidRPr="00E701E9" w:rsidRDefault="000C3542" w:rsidP="00A747B4">
      <w:pPr>
        <w:numPr>
          <w:ilvl w:val="0"/>
          <w:numId w:val="24"/>
        </w:numPr>
        <w:tabs>
          <w:tab w:val="left" w:pos="284"/>
        </w:tabs>
        <w:spacing w:after="120"/>
        <w:ind w:left="709" w:hanging="218"/>
        <w:rPr>
          <w:szCs w:val="24"/>
        </w:rPr>
      </w:pPr>
      <w:r w:rsidRPr="00E701E9">
        <w:rPr>
          <w:szCs w:val="24"/>
        </w:rPr>
        <w:t>il paese di origine, il paese di destinazione, il mezzo di trasporto utilizzato, la località di ingresso o di uscita.</w:t>
      </w:r>
    </w:p>
    <w:p w:rsidR="005C1900" w:rsidRDefault="005C1900" w:rsidP="00A747B4">
      <w:pPr>
        <w:spacing w:after="120"/>
        <w:jc w:val="center"/>
        <w:rPr>
          <w:szCs w:val="24"/>
        </w:rPr>
      </w:pPr>
    </w:p>
    <w:p w:rsidR="000C3542" w:rsidRPr="00B31349" w:rsidRDefault="000C3542" w:rsidP="00A747B4">
      <w:pPr>
        <w:spacing w:after="120"/>
        <w:jc w:val="center"/>
        <w:rPr>
          <w:szCs w:val="24"/>
        </w:rPr>
      </w:pPr>
      <w:r w:rsidRPr="00B31349">
        <w:rPr>
          <w:szCs w:val="24"/>
        </w:rPr>
        <w:t xml:space="preserve">Art. </w:t>
      </w:r>
      <w:r>
        <w:rPr>
          <w:szCs w:val="24"/>
        </w:rPr>
        <w:t>4</w:t>
      </w:r>
    </w:p>
    <w:p w:rsidR="000C3542" w:rsidRPr="00B31349" w:rsidRDefault="000C3542" w:rsidP="00A747B4">
      <w:pPr>
        <w:tabs>
          <w:tab w:val="left" w:pos="284"/>
        </w:tabs>
        <w:spacing w:after="120"/>
        <w:jc w:val="center"/>
        <w:rPr>
          <w:szCs w:val="24"/>
        </w:rPr>
      </w:pPr>
      <w:r w:rsidRPr="00B31349">
        <w:rPr>
          <w:szCs w:val="24"/>
        </w:rPr>
        <w:t>(</w:t>
      </w:r>
      <w:r w:rsidR="00E323EE">
        <w:rPr>
          <w:szCs w:val="24"/>
        </w:rPr>
        <w:t>C</w:t>
      </w:r>
      <w:r w:rsidRPr="00A747B4">
        <w:rPr>
          <w:i/>
          <w:szCs w:val="24"/>
        </w:rPr>
        <w:t>ontrolli</w:t>
      </w:r>
      <w:r w:rsidRPr="00B31349">
        <w:rPr>
          <w:szCs w:val="24"/>
        </w:rPr>
        <w:t>)</w:t>
      </w:r>
    </w:p>
    <w:p w:rsidR="000C3542" w:rsidRPr="00B31349" w:rsidRDefault="000C3542" w:rsidP="00A747B4">
      <w:pPr>
        <w:numPr>
          <w:ilvl w:val="0"/>
          <w:numId w:val="5"/>
        </w:numPr>
        <w:spacing w:after="120"/>
        <w:ind w:left="284" w:hanging="284"/>
        <w:rPr>
          <w:szCs w:val="24"/>
        </w:rPr>
      </w:pPr>
      <w:r>
        <w:rPr>
          <w:szCs w:val="24"/>
        </w:rPr>
        <w:t>Ai sensi de</w:t>
      </w:r>
      <w:r w:rsidRPr="00B31349">
        <w:rPr>
          <w:szCs w:val="24"/>
        </w:rPr>
        <w:t>ll’articolo 2</w:t>
      </w:r>
      <w:r w:rsidRPr="00E701E9">
        <w:rPr>
          <w:szCs w:val="24"/>
        </w:rPr>
        <w:t>bis,</w:t>
      </w:r>
      <w:r w:rsidRPr="00B31349">
        <w:rPr>
          <w:szCs w:val="24"/>
        </w:rPr>
        <w:t xml:space="preserve"> paragrafo 4, lettera b) del regolamento, sarà </w:t>
      </w:r>
      <w:r>
        <w:rPr>
          <w:szCs w:val="24"/>
        </w:rPr>
        <w:t>effettuato</w:t>
      </w:r>
      <w:r w:rsidR="00750F92">
        <w:rPr>
          <w:szCs w:val="24"/>
        </w:rPr>
        <w:t xml:space="preserve"> </w:t>
      </w:r>
      <w:r w:rsidR="00F05A4F" w:rsidRPr="00E701E9">
        <w:rPr>
          <w:szCs w:val="24"/>
        </w:rPr>
        <w:t>almeno</w:t>
      </w:r>
      <w:r>
        <w:rPr>
          <w:szCs w:val="24"/>
        </w:rPr>
        <w:t xml:space="preserve"> un</w:t>
      </w:r>
      <w:r w:rsidRPr="00B31349">
        <w:rPr>
          <w:szCs w:val="24"/>
        </w:rPr>
        <w:t xml:space="preserve"> controllo </w:t>
      </w:r>
      <w:r w:rsidR="00750F92" w:rsidRPr="001949C1">
        <w:rPr>
          <w:szCs w:val="24"/>
        </w:rPr>
        <w:t>annuale</w:t>
      </w:r>
      <w:r w:rsidR="00750F92">
        <w:rPr>
          <w:szCs w:val="24"/>
        </w:rPr>
        <w:t xml:space="preserve"> </w:t>
      </w:r>
      <w:r w:rsidRPr="00B31349">
        <w:rPr>
          <w:szCs w:val="24"/>
        </w:rPr>
        <w:t>di conformità degli oli per ogni mille tonnellate di prodotto commercializzato.</w:t>
      </w:r>
    </w:p>
    <w:p w:rsidR="000C3542" w:rsidRPr="00E701E9" w:rsidRDefault="000C3542" w:rsidP="00A747B4">
      <w:pPr>
        <w:numPr>
          <w:ilvl w:val="0"/>
          <w:numId w:val="5"/>
        </w:numPr>
        <w:spacing w:after="120"/>
        <w:ind w:left="284" w:hanging="284"/>
        <w:rPr>
          <w:szCs w:val="24"/>
        </w:rPr>
      </w:pPr>
      <w:r w:rsidRPr="00E701E9">
        <w:rPr>
          <w:szCs w:val="24"/>
        </w:rPr>
        <w:t>Il numero di controlli sarà definito dall’ICQRF nello specifico documento di programmazione annuale.</w:t>
      </w:r>
    </w:p>
    <w:p w:rsidR="000C3542" w:rsidRPr="00900CA1" w:rsidRDefault="000C3542" w:rsidP="00A747B4">
      <w:pPr>
        <w:numPr>
          <w:ilvl w:val="0"/>
          <w:numId w:val="5"/>
        </w:numPr>
        <w:spacing w:after="120"/>
        <w:ind w:left="284" w:hanging="284"/>
        <w:rPr>
          <w:szCs w:val="24"/>
        </w:rPr>
      </w:pPr>
      <w:r w:rsidRPr="00900CA1">
        <w:rPr>
          <w:szCs w:val="24"/>
        </w:rPr>
        <w:lastRenderedPageBreak/>
        <w:t>Sarà cura dell’ICQRF riservare una quota parte di controlli agli operatori e alle partite di prodotto teoricamente non a rischio.</w:t>
      </w:r>
    </w:p>
    <w:p w:rsidR="000C3542" w:rsidRPr="00B31349" w:rsidRDefault="000C3542" w:rsidP="00A747B4">
      <w:pPr>
        <w:numPr>
          <w:ilvl w:val="0"/>
          <w:numId w:val="5"/>
        </w:numPr>
        <w:spacing w:after="120"/>
        <w:ind w:left="284" w:hanging="284"/>
        <w:rPr>
          <w:szCs w:val="24"/>
        </w:rPr>
      </w:pPr>
      <w:r w:rsidRPr="00B31349">
        <w:rPr>
          <w:szCs w:val="24"/>
        </w:rPr>
        <w:t xml:space="preserve">Ai sensi dell’articolo 3 del regolamento, la frequenza e il numero dei controlli di conformità saranno incrementati </w:t>
      </w:r>
      <w:r w:rsidRPr="00E701E9">
        <w:rPr>
          <w:szCs w:val="24"/>
        </w:rPr>
        <w:t>proporzionalmente</w:t>
      </w:r>
      <w:r w:rsidR="00607EDD">
        <w:rPr>
          <w:szCs w:val="24"/>
        </w:rPr>
        <w:t xml:space="preserve"> </w:t>
      </w:r>
      <w:r w:rsidRPr="00BC10DD">
        <w:rPr>
          <w:szCs w:val="24"/>
        </w:rPr>
        <w:t>per quei criteri di rischio</w:t>
      </w:r>
      <w:r w:rsidRPr="00B31349">
        <w:rPr>
          <w:szCs w:val="24"/>
        </w:rPr>
        <w:t xml:space="preserve"> che </w:t>
      </w:r>
      <w:r>
        <w:rPr>
          <w:szCs w:val="24"/>
        </w:rPr>
        <w:t>nel corso dell’annualità precedente hanno consentito</w:t>
      </w:r>
      <w:r w:rsidRPr="00B31349">
        <w:rPr>
          <w:szCs w:val="24"/>
        </w:rPr>
        <w:t xml:space="preserve"> di riscontrare </w:t>
      </w:r>
      <w:r>
        <w:rPr>
          <w:szCs w:val="24"/>
        </w:rPr>
        <w:t xml:space="preserve">le </w:t>
      </w:r>
      <w:r w:rsidRPr="00B31349">
        <w:rPr>
          <w:szCs w:val="24"/>
        </w:rPr>
        <w:t xml:space="preserve">irregolarità </w:t>
      </w:r>
      <w:r>
        <w:rPr>
          <w:szCs w:val="24"/>
        </w:rPr>
        <w:t>più significative sia per numero che per quantità di prodotto non conforme intercettato</w:t>
      </w:r>
      <w:r w:rsidRPr="00B31349">
        <w:rPr>
          <w:szCs w:val="24"/>
        </w:rPr>
        <w:t>.</w:t>
      </w:r>
    </w:p>
    <w:p w:rsidR="005C1900" w:rsidRDefault="005C1900" w:rsidP="00A747B4">
      <w:pPr>
        <w:spacing w:after="120"/>
        <w:jc w:val="center"/>
        <w:rPr>
          <w:i/>
          <w:szCs w:val="24"/>
        </w:rPr>
      </w:pPr>
    </w:p>
    <w:p w:rsidR="00627E1A" w:rsidRPr="00CA1535" w:rsidRDefault="00627E1A" w:rsidP="00A747B4">
      <w:pPr>
        <w:spacing w:after="120"/>
        <w:jc w:val="center"/>
        <w:rPr>
          <w:i/>
          <w:color w:val="FF0000"/>
          <w:szCs w:val="24"/>
        </w:rPr>
      </w:pPr>
      <w:r w:rsidRPr="00CA1535">
        <w:rPr>
          <w:i/>
          <w:szCs w:val="24"/>
        </w:rPr>
        <w:t>Art. 5</w:t>
      </w:r>
    </w:p>
    <w:p w:rsidR="00627E1A" w:rsidRPr="00CA1535" w:rsidRDefault="00627E1A" w:rsidP="00A747B4">
      <w:pPr>
        <w:pStyle w:val="Paragrafoelenco"/>
        <w:spacing w:after="120"/>
        <w:ind w:left="0"/>
        <w:jc w:val="center"/>
        <w:rPr>
          <w:i/>
          <w:sz w:val="24"/>
          <w:szCs w:val="24"/>
        </w:rPr>
      </w:pPr>
      <w:r w:rsidRPr="00CA1535">
        <w:rPr>
          <w:i/>
          <w:sz w:val="24"/>
          <w:szCs w:val="24"/>
        </w:rPr>
        <w:t>(Registri)</w:t>
      </w:r>
    </w:p>
    <w:p w:rsidR="001638B2" w:rsidRPr="00FC2471" w:rsidRDefault="00FC2471" w:rsidP="00FC2471">
      <w:pPr>
        <w:pStyle w:val="Paragrafoelenco"/>
        <w:numPr>
          <w:ilvl w:val="0"/>
          <w:numId w:val="36"/>
        </w:numPr>
        <w:spacing w:after="120"/>
        <w:ind w:left="426" w:hanging="426"/>
        <w:jc w:val="both"/>
        <w:rPr>
          <w:sz w:val="24"/>
          <w:szCs w:val="24"/>
        </w:rPr>
      </w:pPr>
      <w:r w:rsidRPr="00FC2471">
        <w:rPr>
          <w:sz w:val="24"/>
          <w:szCs w:val="24"/>
        </w:rPr>
        <w:t>I</w:t>
      </w:r>
      <w:r w:rsidR="00627E1A" w:rsidRPr="00FC2471">
        <w:rPr>
          <w:sz w:val="24"/>
          <w:szCs w:val="24"/>
        </w:rPr>
        <w:t xml:space="preserve">n attuazione </w:t>
      </w:r>
      <w:r w:rsidR="00940A76" w:rsidRPr="00FC2471">
        <w:rPr>
          <w:sz w:val="24"/>
          <w:szCs w:val="24"/>
        </w:rPr>
        <w:t>di</w:t>
      </w:r>
      <w:r w:rsidR="00627E1A" w:rsidRPr="00FC2471">
        <w:rPr>
          <w:sz w:val="24"/>
          <w:szCs w:val="24"/>
        </w:rPr>
        <w:t xml:space="preserve"> quanto previsto dall’art. 7 bis del </w:t>
      </w:r>
      <w:r w:rsidR="00343F36" w:rsidRPr="00FC2471">
        <w:rPr>
          <w:sz w:val="24"/>
          <w:szCs w:val="24"/>
        </w:rPr>
        <w:t>r</w:t>
      </w:r>
      <w:r w:rsidR="00627E1A" w:rsidRPr="00FC2471">
        <w:rPr>
          <w:sz w:val="24"/>
          <w:szCs w:val="24"/>
        </w:rPr>
        <w:t xml:space="preserve">egolamento, </w:t>
      </w:r>
      <w:r w:rsidR="00572D82" w:rsidRPr="00FC2471">
        <w:rPr>
          <w:sz w:val="24"/>
          <w:szCs w:val="24"/>
        </w:rPr>
        <w:t>gl</w:t>
      </w:r>
      <w:r w:rsidR="00627E1A" w:rsidRPr="00FC2471">
        <w:rPr>
          <w:sz w:val="24"/>
          <w:szCs w:val="24"/>
        </w:rPr>
        <w:t xml:space="preserve">i </w:t>
      </w:r>
      <w:r w:rsidR="00572D82" w:rsidRPr="00FC2471">
        <w:rPr>
          <w:sz w:val="24"/>
          <w:szCs w:val="24"/>
        </w:rPr>
        <w:t>operatori</w:t>
      </w:r>
      <w:r w:rsidR="00627E1A" w:rsidRPr="00FC2471">
        <w:rPr>
          <w:sz w:val="24"/>
          <w:szCs w:val="24"/>
        </w:rPr>
        <w:t xml:space="preserve"> di cui all’art. </w:t>
      </w:r>
      <w:r w:rsidR="00572D82" w:rsidRPr="00FC2471">
        <w:rPr>
          <w:sz w:val="24"/>
          <w:szCs w:val="24"/>
        </w:rPr>
        <w:t>2</w:t>
      </w:r>
      <w:r w:rsidR="00627E1A" w:rsidRPr="00FC2471">
        <w:rPr>
          <w:sz w:val="24"/>
          <w:szCs w:val="24"/>
        </w:rPr>
        <w:t xml:space="preserve"> ovvero chiunque produce, detiene o commercializza uno o più oli per qualsiasi scopo professionale o commerciale, </w:t>
      </w:r>
      <w:r w:rsidR="00F05A4F" w:rsidRPr="00FC2471">
        <w:rPr>
          <w:sz w:val="24"/>
          <w:szCs w:val="24"/>
        </w:rPr>
        <w:t>è obbligato</w:t>
      </w:r>
      <w:r w:rsidR="00607EDD">
        <w:rPr>
          <w:sz w:val="24"/>
          <w:szCs w:val="24"/>
        </w:rPr>
        <w:t xml:space="preserve"> </w:t>
      </w:r>
      <w:r w:rsidR="00627E1A" w:rsidRPr="00FC2471">
        <w:rPr>
          <w:sz w:val="24"/>
          <w:szCs w:val="24"/>
        </w:rPr>
        <w:t>alla tenuta di un registro per</w:t>
      </w:r>
      <w:r w:rsidR="00ED3D67" w:rsidRPr="00FC2471">
        <w:rPr>
          <w:sz w:val="24"/>
          <w:szCs w:val="24"/>
        </w:rPr>
        <w:t xml:space="preserve"> ogni stabilimento e/</w:t>
      </w:r>
      <w:r w:rsidR="00627E1A" w:rsidRPr="00FC2471">
        <w:rPr>
          <w:sz w:val="24"/>
          <w:szCs w:val="24"/>
        </w:rPr>
        <w:t>o deposito, esclusi i punti vendita e i depositi di soli oli confezionati, nel quale sono annotat</w:t>
      </w:r>
      <w:r w:rsidR="004441A4">
        <w:rPr>
          <w:sz w:val="24"/>
          <w:szCs w:val="24"/>
        </w:rPr>
        <w:t>i</w:t>
      </w:r>
      <w:r w:rsidR="00572D82" w:rsidRPr="00FC2471">
        <w:rPr>
          <w:sz w:val="24"/>
          <w:szCs w:val="24"/>
        </w:rPr>
        <w:t xml:space="preserve"> relativi</w:t>
      </w:r>
      <w:r w:rsidR="00607EDD">
        <w:rPr>
          <w:sz w:val="24"/>
          <w:szCs w:val="24"/>
        </w:rPr>
        <w:t xml:space="preserve"> </w:t>
      </w:r>
      <w:r w:rsidR="00572D82" w:rsidRPr="00FC2471">
        <w:rPr>
          <w:sz w:val="24"/>
          <w:szCs w:val="24"/>
        </w:rPr>
        <w:t>carichi e scarichi.</w:t>
      </w:r>
      <w:r w:rsidR="00607EDD">
        <w:rPr>
          <w:sz w:val="24"/>
          <w:szCs w:val="24"/>
        </w:rPr>
        <w:t xml:space="preserve"> </w:t>
      </w:r>
      <w:r w:rsidR="00627E1A" w:rsidRPr="00FC2471">
        <w:rPr>
          <w:sz w:val="24"/>
          <w:szCs w:val="24"/>
        </w:rPr>
        <w:t xml:space="preserve">Nel caso di </w:t>
      </w:r>
      <w:r w:rsidR="00C4579D" w:rsidRPr="00FC2471">
        <w:rPr>
          <w:sz w:val="24"/>
          <w:szCs w:val="24"/>
        </w:rPr>
        <w:t xml:space="preserve">produzione e/o di </w:t>
      </w:r>
      <w:r w:rsidR="00627E1A" w:rsidRPr="00FC2471">
        <w:rPr>
          <w:sz w:val="24"/>
          <w:szCs w:val="24"/>
        </w:rPr>
        <w:t xml:space="preserve">lavorazione </w:t>
      </w:r>
      <w:r w:rsidR="00C4579D" w:rsidRPr="00FC2471">
        <w:rPr>
          <w:sz w:val="24"/>
          <w:szCs w:val="24"/>
        </w:rPr>
        <w:t>e/</w:t>
      </w:r>
      <w:r w:rsidR="00627E1A" w:rsidRPr="00FC2471">
        <w:rPr>
          <w:sz w:val="24"/>
          <w:szCs w:val="24"/>
        </w:rPr>
        <w:t xml:space="preserve">o </w:t>
      </w:r>
      <w:r w:rsidR="00C4579D" w:rsidRPr="00FC2471">
        <w:rPr>
          <w:sz w:val="24"/>
          <w:szCs w:val="24"/>
        </w:rPr>
        <w:t xml:space="preserve">di </w:t>
      </w:r>
      <w:r w:rsidR="00627E1A" w:rsidRPr="00FC2471">
        <w:rPr>
          <w:sz w:val="24"/>
          <w:szCs w:val="24"/>
        </w:rPr>
        <w:t>detenzione per conto terzi, i</w:t>
      </w:r>
      <w:r w:rsidR="00940A76" w:rsidRPr="00FC2471">
        <w:rPr>
          <w:sz w:val="24"/>
          <w:szCs w:val="24"/>
        </w:rPr>
        <w:t>l</w:t>
      </w:r>
      <w:r w:rsidR="00627E1A" w:rsidRPr="00FC2471">
        <w:rPr>
          <w:sz w:val="24"/>
          <w:szCs w:val="24"/>
        </w:rPr>
        <w:t xml:space="preserve"> registr</w:t>
      </w:r>
      <w:r w:rsidR="00940A76" w:rsidRPr="00FC2471">
        <w:rPr>
          <w:sz w:val="24"/>
          <w:szCs w:val="24"/>
        </w:rPr>
        <w:t>o è</w:t>
      </w:r>
      <w:r w:rsidR="00627E1A" w:rsidRPr="00FC2471">
        <w:rPr>
          <w:sz w:val="24"/>
          <w:szCs w:val="24"/>
        </w:rPr>
        <w:t xml:space="preserve"> tenut</w:t>
      </w:r>
      <w:r w:rsidR="00940A76" w:rsidRPr="00FC2471">
        <w:rPr>
          <w:sz w:val="24"/>
          <w:szCs w:val="24"/>
        </w:rPr>
        <w:t>o</w:t>
      </w:r>
      <w:r w:rsidR="00627E1A" w:rsidRPr="00FC2471">
        <w:rPr>
          <w:sz w:val="24"/>
          <w:szCs w:val="24"/>
        </w:rPr>
        <w:t xml:space="preserve"> dal contoterzista che procede materialmente alla produzione</w:t>
      </w:r>
      <w:r w:rsidR="00C4579D" w:rsidRPr="00FC2471">
        <w:rPr>
          <w:sz w:val="24"/>
          <w:szCs w:val="24"/>
        </w:rPr>
        <w:t xml:space="preserve"> e/o</w:t>
      </w:r>
      <w:r w:rsidR="00607EDD">
        <w:rPr>
          <w:sz w:val="24"/>
          <w:szCs w:val="24"/>
        </w:rPr>
        <w:t xml:space="preserve"> </w:t>
      </w:r>
      <w:r w:rsidR="00C4579D" w:rsidRPr="00FC2471">
        <w:rPr>
          <w:sz w:val="24"/>
          <w:szCs w:val="24"/>
        </w:rPr>
        <w:t xml:space="preserve">alla </w:t>
      </w:r>
      <w:r w:rsidR="00627E1A" w:rsidRPr="00FC2471">
        <w:rPr>
          <w:sz w:val="24"/>
          <w:szCs w:val="24"/>
        </w:rPr>
        <w:t xml:space="preserve">lavorazione </w:t>
      </w:r>
      <w:r w:rsidR="00C4579D" w:rsidRPr="00FC2471">
        <w:rPr>
          <w:sz w:val="24"/>
          <w:szCs w:val="24"/>
        </w:rPr>
        <w:t>e/</w:t>
      </w:r>
      <w:r w:rsidR="00627E1A" w:rsidRPr="00FC2471">
        <w:rPr>
          <w:sz w:val="24"/>
          <w:szCs w:val="24"/>
        </w:rPr>
        <w:t>o alla detenzione</w:t>
      </w:r>
      <w:r w:rsidR="00940A76" w:rsidRPr="00FC2471">
        <w:rPr>
          <w:sz w:val="24"/>
          <w:szCs w:val="24"/>
        </w:rPr>
        <w:t>degli oli</w:t>
      </w:r>
      <w:r w:rsidR="00627E1A" w:rsidRPr="00FC2471">
        <w:rPr>
          <w:sz w:val="24"/>
          <w:szCs w:val="24"/>
        </w:rPr>
        <w:t xml:space="preserve">. </w:t>
      </w:r>
    </w:p>
    <w:p w:rsidR="001638B2" w:rsidRPr="001949C1" w:rsidRDefault="001638B2" w:rsidP="00FC2471">
      <w:pPr>
        <w:spacing w:after="120"/>
        <w:ind w:left="426"/>
        <w:rPr>
          <w:szCs w:val="24"/>
        </w:rPr>
      </w:pPr>
      <w:r w:rsidRPr="001949C1">
        <w:rPr>
          <w:szCs w:val="24"/>
        </w:rPr>
        <w:t>I commercianti di sansa di olive istituiscono un registro nel quale sono annotati i carichi e gli scarichi di sansa di olive, anche in assenza di deposito/stabilimento.</w:t>
      </w:r>
    </w:p>
    <w:p w:rsidR="00627E1A" w:rsidRPr="002974E4" w:rsidRDefault="00627E1A" w:rsidP="002974E4">
      <w:pPr>
        <w:pStyle w:val="Paragrafoelenco"/>
        <w:numPr>
          <w:ilvl w:val="0"/>
          <w:numId w:val="36"/>
        </w:numPr>
        <w:spacing w:after="120"/>
        <w:ind w:left="426" w:hanging="426"/>
        <w:rPr>
          <w:sz w:val="24"/>
          <w:szCs w:val="24"/>
        </w:rPr>
      </w:pPr>
      <w:r w:rsidRPr="002974E4">
        <w:rPr>
          <w:sz w:val="24"/>
          <w:szCs w:val="24"/>
        </w:rPr>
        <w:t xml:space="preserve">L’obbligo di cui al comma 1 non è previsto per </w:t>
      </w:r>
      <w:r w:rsidR="00572D82" w:rsidRPr="002974E4">
        <w:rPr>
          <w:sz w:val="24"/>
          <w:szCs w:val="24"/>
        </w:rPr>
        <w:t>gl</w:t>
      </w:r>
      <w:r w:rsidRPr="002974E4">
        <w:rPr>
          <w:sz w:val="24"/>
          <w:szCs w:val="24"/>
        </w:rPr>
        <w:t xml:space="preserve">i </w:t>
      </w:r>
      <w:r w:rsidR="00572D82" w:rsidRPr="002974E4">
        <w:rPr>
          <w:sz w:val="24"/>
          <w:szCs w:val="24"/>
        </w:rPr>
        <w:t>operatori</w:t>
      </w:r>
      <w:r w:rsidRPr="002974E4">
        <w:rPr>
          <w:sz w:val="24"/>
          <w:szCs w:val="24"/>
        </w:rPr>
        <w:t xml:space="preserve"> che detengono esclusivamente oli:</w:t>
      </w:r>
    </w:p>
    <w:p w:rsidR="001760AA" w:rsidRPr="00D76553" w:rsidRDefault="001760AA" w:rsidP="002974E4">
      <w:pPr>
        <w:pStyle w:val="Paragrafoelenco"/>
        <w:numPr>
          <w:ilvl w:val="0"/>
          <w:numId w:val="26"/>
        </w:numPr>
        <w:spacing w:after="120"/>
        <w:ind w:left="709" w:hanging="283"/>
        <w:jc w:val="both"/>
        <w:rPr>
          <w:sz w:val="24"/>
          <w:szCs w:val="24"/>
        </w:rPr>
      </w:pPr>
      <w:r w:rsidRPr="00D76553">
        <w:rPr>
          <w:sz w:val="24"/>
          <w:szCs w:val="24"/>
        </w:rPr>
        <w:t xml:space="preserve">utilizzati </w:t>
      </w:r>
      <w:r w:rsidR="009B6C76" w:rsidRPr="00D76553">
        <w:rPr>
          <w:sz w:val="24"/>
          <w:szCs w:val="24"/>
        </w:rPr>
        <w:t>quali ingredienti in prodotti alimentari diversi da</w:t>
      </w:r>
      <w:r w:rsidR="00DA0A24" w:rsidRPr="00D76553">
        <w:rPr>
          <w:sz w:val="24"/>
          <w:szCs w:val="24"/>
        </w:rPr>
        <w:t xml:space="preserve">lle miscele di oli </w:t>
      </w:r>
      <w:r w:rsidR="009B6C76" w:rsidRPr="00D76553">
        <w:rPr>
          <w:sz w:val="24"/>
          <w:szCs w:val="24"/>
        </w:rPr>
        <w:t>disciplinat</w:t>
      </w:r>
      <w:r w:rsidR="00DA0A24" w:rsidRPr="00D76553">
        <w:rPr>
          <w:sz w:val="24"/>
          <w:szCs w:val="24"/>
        </w:rPr>
        <w:t>e</w:t>
      </w:r>
      <w:r w:rsidR="009B6C76" w:rsidRPr="00D76553">
        <w:rPr>
          <w:sz w:val="24"/>
          <w:szCs w:val="24"/>
        </w:rPr>
        <w:t xml:space="preserve"> all’art. 6, paragrafo 1, del </w:t>
      </w:r>
      <w:r w:rsidR="00343F36" w:rsidRPr="00343F36">
        <w:rPr>
          <w:sz w:val="24"/>
          <w:szCs w:val="24"/>
        </w:rPr>
        <w:t>r</w:t>
      </w:r>
      <w:r w:rsidR="009B6C76" w:rsidRPr="00343F36">
        <w:rPr>
          <w:sz w:val="24"/>
          <w:szCs w:val="24"/>
        </w:rPr>
        <w:t>eg</w:t>
      </w:r>
      <w:r w:rsidR="00343F36">
        <w:rPr>
          <w:sz w:val="24"/>
          <w:szCs w:val="24"/>
        </w:rPr>
        <w:t>olamento</w:t>
      </w:r>
      <w:r w:rsidR="009B6C76" w:rsidRPr="00D76553">
        <w:rPr>
          <w:sz w:val="24"/>
          <w:szCs w:val="24"/>
        </w:rPr>
        <w:t xml:space="preserve"> (UE) n. 29/201</w:t>
      </w:r>
      <w:r w:rsidR="00ED3D67">
        <w:rPr>
          <w:sz w:val="24"/>
          <w:szCs w:val="24"/>
        </w:rPr>
        <w:t>2</w:t>
      </w:r>
      <w:r w:rsidRPr="00D76553">
        <w:rPr>
          <w:sz w:val="24"/>
          <w:szCs w:val="24"/>
        </w:rPr>
        <w:t xml:space="preserve">; </w:t>
      </w:r>
    </w:p>
    <w:p w:rsidR="001760AA" w:rsidRPr="00D76553" w:rsidRDefault="001760AA" w:rsidP="002974E4">
      <w:pPr>
        <w:pStyle w:val="Paragrafoelenco"/>
        <w:numPr>
          <w:ilvl w:val="0"/>
          <w:numId w:val="26"/>
        </w:numPr>
        <w:spacing w:after="120"/>
        <w:ind w:left="709" w:hanging="283"/>
        <w:jc w:val="both"/>
        <w:rPr>
          <w:sz w:val="24"/>
          <w:szCs w:val="24"/>
        </w:rPr>
      </w:pPr>
      <w:r w:rsidRPr="00D76553">
        <w:rPr>
          <w:sz w:val="24"/>
          <w:szCs w:val="24"/>
        </w:rPr>
        <w:t xml:space="preserve">destinati ad usi non alimentari;  </w:t>
      </w:r>
    </w:p>
    <w:p w:rsidR="00627E1A" w:rsidRPr="001760AA" w:rsidRDefault="00627E1A" w:rsidP="002974E4">
      <w:pPr>
        <w:pStyle w:val="Paragrafoelenco"/>
        <w:numPr>
          <w:ilvl w:val="0"/>
          <w:numId w:val="26"/>
        </w:numPr>
        <w:spacing w:after="120"/>
        <w:ind w:left="709" w:hanging="283"/>
        <w:jc w:val="both"/>
        <w:rPr>
          <w:sz w:val="24"/>
          <w:szCs w:val="24"/>
        </w:rPr>
      </w:pPr>
      <w:r w:rsidRPr="001760AA">
        <w:rPr>
          <w:sz w:val="24"/>
          <w:szCs w:val="24"/>
        </w:rPr>
        <w:t>destinati all’autoconsumo;</w:t>
      </w:r>
    </w:p>
    <w:p w:rsidR="00627E1A" w:rsidRDefault="00572D82" w:rsidP="002974E4">
      <w:pPr>
        <w:pStyle w:val="Paragrafoelenco"/>
        <w:numPr>
          <w:ilvl w:val="0"/>
          <w:numId w:val="26"/>
        </w:numPr>
        <w:spacing w:after="120"/>
        <w:ind w:left="709" w:hanging="283"/>
        <w:jc w:val="both"/>
        <w:rPr>
          <w:sz w:val="24"/>
          <w:szCs w:val="24"/>
        </w:rPr>
      </w:pPr>
      <w:r w:rsidRPr="00E701E9">
        <w:rPr>
          <w:sz w:val="24"/>
          <w:szCs w:val="24"/>
        </w:rPr>
        <w:t>preconfezionati</w:t>
      </w:r>
      <w:r w:rsidR="00304272" w:rsidRPr="00E701E9">
        <w:rPr>
          <w:sz w:val="24"/>
          <w:szCs w:val="24"/>
        </w:rPr>
        <w:t xml:space="preserve"> ed etichettati</w:t>
      </w:r>
      <w:r w:rsidRPr="00E701E9">
        <w:rPr>
          <w:sz w:val="24"/>
          <w:szCs w:val="24"/>
        </w:rPr>
        <w:t>.</w:t>
      </w:r>
    </w:p>
    <w:p w:rsidR="005B4330" w:rsidRDefault="00627E1A" w:rsidP="005B4330">
      <w:pPr>
        <w:pStyle w:val="Paragrafoelenco"/>
        <w:numPr>
          <w:ilvl w:val="0"/>
          <w:numId w:val="36"/>
        </w:numPr>
        <w:spacing w:after="120"/>
        <w:ind w:left="426" w:hanging="426"/>
        <w:jc w:val="both"/>
        <w:rPr>
          <w:sz w:val="24"/>
          <w:szCs w:val="24"/>
        </w:rPr>
      </w:pPr>
      <w:r w:rsidRPr="002974E4">
        <w:rPr>
          <w:sz w:val="24"/>
          <w:szCs w:val="24"/>
        </w:rPr>
        <w:t>I registr</w:t>
      </w:r>
      <w:r w:rsidR="000C2313" w:rsidRPr="002974E4">
        <w:rPr>
          <w:sz w:val="24"/>
          <w:szCs w:val="24"/>
        </w:rPr>
        <w:t>i</w:t>
      </w:r>
      <w:r w:rsidRPr="002974E4">
        <w:rPr>
          <w:sz w:val="24"/>
          <w:szCs w:val="24"/>
        </w:rPr>
        <w:t xml:space="preserve"> di cui al comma 1 </w:t>
      </w:r>
      <w:r w:rsidR="000C2313" w:rsidRPr="002974E4">
        <w:rPr>
          <w:sz w:val="24"/>
          <w:szCs w:val="24"/>
        </w:rPr>
        <w:t xml:space="preserve">sono </w:t>
      </w:r>
      <w:r w:rsidRPr="002974E4">
        <w:rPr>
          <w:sz w:val="24"/>
          <w:szCs w:val="24"/>
        </w:rPr>
        <w:t>tenut</w:t>
      </w:r>
      <w:r w:rsidR="000C2313" w:rsidRPr="002974E4">
        <w:rPr>
          <w:sz w:val="24"/>
          <w:szCs w:val="24"/>
        </w:rPr>
        <w:t>i</w:t>
      </w:r>
      <w:r w:rsidRPr="002974E4">
        <w:rPr>
          <w:sz w:val="24"/>
          <w:szCs w:val="24"/>
        </w:rPr>
        <w:t xml:space="preserve"> con modalità telematiche nell'ambito dei servizi del Sistema Informativo Agricolo Nazionale (SIAN), secondo le disposizioni stabilite dall'ICQRF d'intesa con AGEA e contenute in appositi manuali pubblicati nel portale del SIAN. </w:t>
      </w:r>
    </w:p>
    <w:p w:rsidR="005B4330" w:rsidRPr="00E21A9F" w:rsidRDefault="00627E1A" w:rsidP="005B4330">
      <w:pPr>
        <w:pStyle w:val="Paragrafoelenco"/>
        <w:numPr>
          <w:ilvl w:val="0"/>
          <w:numId w:val="36"/>
        </w:numPr>
        <w:autoSpaceDE w:val="0"/>
        <w:autoSpaceDN w:val="0"/>
        <w:adjustRightInd w:val="0"/>
        <w:spacing w:after="120"/>
        <w:ind w:left="426" w:hanging="426"/>
        <w:jc w:val="both"/>
        <w:rPr>
          <w:sz w:val="24"/>
          <w:szCs w:val="24"/>
        </w:rPr>
      </w:pPr>
      <w:r w:rsidRPr="002974E4">
        <w:rPr>
          <w:sz w:val="24"/>
          <w:szCs w:val="24"/>
        </w:rPr>
        <w:t>Le annotazioni ne</w:t>
      </w:r>
      <w:r w:rsidR="000C2313" w:rsidRPr="002974E4">
        <w:rPr>
          <w:sz w:val="24"/>
          <w:szCs w:val="24"/>
        </w:rPr>
        <w:t>i</w:t>
      </w:r>
      <w:r w:rsidRPr="002974E4">
        <w:rPr>
          <w:sz w:val="24"/>
          <w:szCs w:val="24"/>
        </w:rPr>
        <w:t xml:space="preserve"> registr</w:t>
      </w:r>
      <w:r w:rsidR="000C2313" w:rsidRPr="002974E4">
        <w:rPr>
          <w:sz w:val="24"/>
          <w:szCs w:val="24"/>
        </w:rPr>
        <w:t>i</w:t>
      </w:r>
      <w:r w:rsidRPr="002974E4">
        <w:rPr>
          <w:sz w:val="24"/>
          <w:szCs w:val="24"/>
        </w:rPr>
        <w:t xml:space="preserve"> di cui al comma 1</w:t>
      </w:r>
      <w:r w:rsidR="0055016D" w:rsidRPr="002974E4">
        <w:rPr>
          <w:sz w:val="24"/>
          <w:szCs w:val="24"/>
        </w:rPr>
        <w:t xml:space="preserve"> si effettuano entro e non oltre il sesto giorno successivo a quello dell’operazione, giorni festivi compresi. Tutte le operazioni devono essere registrate in ordine cronologico</w:t>
      </w:r>
      <w:r w:rsidR="00630F57" w:rsidRPr="002974E4">
        <w:rPr>
          <w:sz w:val="24"/>
          <w:szCs w:val="24"/>
        </w:rPr>
        <w:t>,</w:t>
      </w:r>
      <w:r w:rsidR="00607EDD">
        <w:rPr>
          <w:sz w:val="24"/>
          <w:szCs w:val="24"/>
        </w:rPr>
        <w:t xml:space="preserve"> </w:t>
      </w:r>
      <w:r w:rsidR="00630F57" w:rsidRPr="002974E4">
        <w:rPr>
          <w:sz w:val="24"/>
          <w:szCs w:val="24"/>
        </w:rPr>
        <w:t>coerenti</w:t>
      </w:r>
      <w:r w:rsidR="00607EDD">
        <w:rPr>
          <w:sz w:val="24"/>
          <w:szCs w:val="24"/>
        </w:rPr>
        <w:t xml:space="preserve"> </w:t>
      </w:r>
      <w:r w:rsidR="00630F57" w:rsidRPr="002974E4">
        <w:rPr>
          <w:iCs/>
          <w:sz w:val="24"/>
          <w:szCs w:val="24"/>
        </w:rPr>
        <w:t>alle azioni effettivamente svolte.</w:t>
      </w:r>
    </w:p>
    <w:p w:rsidR="00E21A9F" w:rsidRPr="00F40E7D" w:rsidRDefault="00E21A9F" w:rsidP="005B4330">
      <w:pPr>
        <w:pStyle w:val="Paragrafoelenco"/>
        <w:numPr>
          <w:ilvl w:val="0"/>
          <w:numId w:val="36"/>
        </w:numPr>
        <w:autoSpaceDE w:val="0"/>
        <w:autoSpaceDN w:val="0"/>
        <w:adjustRightInd w:val="0"/>
        <w:spacing w:after="120"/>
        <w:ind w:left="426" w:hanging="426"/>
        <w:jc w:val="both"/>
        <w:rPr>
          <w:sz w:val="24"/>
          <w:szCs w:val="24"/>
        </w:rPr>
      </w:pPr>
      <w:r w:rsidRPr="00F40E7D">
        <w:rPr>
          <w:sz w:val="24"/>
          <w:szCs w:val="24"/>
        </w:rPr>
        <w:t>Gli olivicoltori che detengono e commercializzano esclusivamente olio, allo stato sfuso e/o confezionato, ottenuto da olive provenienti dalla propria azienda, molite presso il frantoio proprio o di terzi, possono effettuare entro il 10 di ogni mese le annotazioni dei dati relativi alle operazioni del mese precedente, a condizione che l’olio ottenuto dalla molitura non sia superiore ai 500 chilogrammi per campagna di commercializzazione (dal 1° luglio al 30 giugno dell’anno successivo).</w:t>
      </w:r>
    </w:p>
    <w:p w:rsidR="0030214E" w:rsidRDefault="00627E1A" w:rsidP="0030214E">
      <w:pPr>
        <w:pStyle w:val="Paragrafoelenco"/>
        <w:numPr>
          <w:ilvl w:val="0"/>
          <w:numId w:val="36"/>
        </w:numPr>
        <w:spacing w:after="120"/>
        <w:ind w:left="426" w:hanging="426"/>
        <w:jc w:val="both"/>
        <w:rPr>
          <w:sz w:val="24"/>
          <w:szCs w:val="24"/>
        </w:rPr>
      </w:pPr>
      <w:r w:rsidRPr="0030214E">
        <w:rPr>
          <w:sz w:val="24"/>
          <w:szCs w:val="24"/>
        </w:rPr>
        <w:t>La tenuta de</w:t>
      </w:r>
      <w:r w:rsidR="00CA1535" w:rsidRPr="0030214E">
        <w:rPr>
          <w:sz w:val="24"/>
          <w:szCs w:val="24"/>
        </w:rPr>
        <w:t>i</w:t>
      </w:r>
      <w:r w:rsidRPr="0030214E">
        <w:rPr>
          <w:sz w:val="24"/>
          <w:szCs w:val="24"/>
        </w:rPr>
        <w:t xml:space="preserve"> registr</w:t>
      </w:r>
      <w:r w:rsidR="00CA1535" w:rsidRPr="0030214E">
        <w:rPr>
          <w:sz w:val="24"/>
          <w:szCs w:val="24"/>
        </w:rPr>
        <w:t>i</w:t>
      </w:r>
      <w:r w:rsidRPr="0030214E">
        <w:rPr>
          <w:sz w:val="24"/>
          <w:szCs w:val="24"/>
        </w:rPr>
        <w:t xml:space="preserve"> può essere delegata, fermo restando la responsabilità in capo al titolare del registro stesso, alle associazioni di categoria maggiormente rappresentative a livello nazionale ed ai </w:t>
      </w:r>
      <w:r w:rsidR="0018454B" w:rsidRPr="0030214E">
        <w:rPr>
          <w:sz w:val="24"/>
          <w:szCs w:val="24"/>
        </w:rPr>
        <w:t>c</w:t>
      </w:r>
      <w:r w:rsidRPr="0030214E">
        <w:rPr>
          <w:sz w:val="24"/>
          <w:szCs w:val="24"/>
        </w:rPr>
        <w:t xml:space="preserve">entri di </w:t>
      </w:r>
      <w:r w:rsidR="0018454B" w:rsidRPr="0030214E">
        <w:rPr>
          <w:sz w:val="24"/>
          <w:szCs w:val="24"/>
        </w:rPr>
        <w:t>a</w:t>
      </w:r>
      <w:r w:rsidRPr="0030214E">
        <w:rPr>
          <w:sz w:val="24"/>
          <w:szCs w:val="24"/>
        </w:rPr>
        <w:t xml:space="preserve">ssistenza </w:t>
      </w:r>
      <w:r w:rsidR="0018454B" w:rsidRPr="0030214E">
        <w:rPr>
          <w:sz w:val="24"/>
          <w:szCs w:val="24"/>
        </w:rPr>
        <w:t>a</w:t>
      </w:r>
      <w:r w:rsidRPr="0030214E">
        <w:rPr>
          <w:sz w:val="24"/>
          <w:szCs w:val="24"/>
        </w:rPr>
        <w:t>gricola (CAA).</w:t>
      </w:r>
    </w:p>
    <w:p w:rsidR="005B4330" w:rsidRDefault="00627E1A" w:rsidP="005B4330">
      <w:pPr>
        <w:pStyle w:val="Paragrafoelenco"/>
        <w:numPr>
          <w:ilvl w:val="0"/>
          <w:numId w:val="36"/>
        </w:numPr>
        <w:spacing w:after="120"/>
        <w:ind w:left="426" w:hanging="426"/>
        <w:jc w:val="both"/>
        <w:rPr>
          <w:sz w:val="24"/>
          <w:szCs w:val="24"/>
        </w:rPr>
      </w:pPr>
      <w:r w:rsidRPr="002974E4">
        <w:rPr>
          <w:sz w:val="24"/>
          <w:szCs w:val="24"/>
        </w:rPr>
        <w:t>Per i frantoi gli obblighi previsti dall'art. 20 comma 1 della legge 6 febbraio 2007, n. 13</w:t>
      </w:r>
      <w:r w:rsidR="00F05A4F" w:rsidRPr="002974E4">
        <w:rPr>
          <w:sz w:val="24"/>
          <w:szCs w:val="24"/>
        </w:rPr>
        <w:t>,</w:t>
      </w:r>
      <w:r w:rsidRPr="002974E4">
        <w:rPr>
          <w:sz w:val="24"/>
          <w:szCs w:val="24"/>
        </w:rPr>
        <w:t xml:space="preserve"> in materia di comunicazione dei dati di produzione</w:t>
      </w:r>
      <w:r w:rsidR="001638AD" w:rsidRPr="002974E4">
        <w:rPr>
          <w:sz w:val="24"/>
          <w:szCs w:val="24"/>
        </w:rPr>
        <w:t>,</w:t>
      </w:r>
      <w:r w:rsidRPr="002974E4">
        <w:rPr>
          <w:sz w:val="24"/>
          <w:szCs w:val="24"/>
        </w:rPr>
        <w:t xml:space="preserve"> si intendono assolti dalla tenuta de</w:t>
      </w:r>
      <w:r w:rsidR="000C2313" w:rsidRPr="002974E4">
        <w:rPr>
          <w:sz w:val="24"/>
          <w:szCs w:val="24"/>
        </w:rPr>
        <w:t>l</w:t>
      </w:r>
      <w:r w:rsidRPr="002974E4">
        <w:rPr>
          <w:sz w:val="24"/>
          <w:szCs w:val="24"/>
        </w:rPr>
        <w:t xml:space="preserve"> registr</w:t>
      </w:r>
      <w:r w:rsidR="000C2313" w:rsidRPr="002974E4">
        <w:rPr>
          <w:sz w:val="24"/>
          <w:szCs w:val="24"/>
        </w:rPr>
        <w:t>o</w:t>
      </w:r>
      <w:r w:rsidRPr="002974E4">
        <w:rPr>
          <w:sz w:val="24"/>
          <w:szCs w:val="24"/>
        </w:rPr>
        <w:t xml:space="preserve"> di cui alcomma 1</w:t>
      </w:r>
      <w:r w:rsidR="00ED3D67" w:rsidRPr="002974E4">
        <w:rPr>
          <w:sz w:val="24"/>
          <w:szCs w:val="24"/>
        </w:rPr>
        <w:t xml:space="preserve"> del presente articolo.</w:t>
      </w:r>
    </w:p>
    <w:p w:rsidR="005B4330" w:rsidRDefault="009746E1" w:rsidP="005B4330">
      <w:pPr>
        <w:pStyle w:val="Paragrafoelenco"/>
        <w:numPr>
          <w:ilvl w:val="0"/>
          <w:numId w:val="36"/>
        </w:numPr>
        <w:spacing w:after="120"/>
        <w:ind w:left="426" w:hanging="426"/>
        <w:jc w:val="both"/>
        <w:rPr>
          <w:sz w:val="24"/>
          <w:szCs w:val="24"/>
        </w:rPr>
      </w:pPr>
      <w:r w:rsidRPr="002974E4">
        <w:rPr>
          <w:sz w:val="24"/>
          <w:szCs w:val="24"/>
        </w:rPr>
        <w:t xml:space="preserve">Secondo disposizioni stabilite dall'ICQRF d'intesa con AGEA, nell'ambito del SIAN sono attivate apposite </w:t>
      </w:r>
      <w:r w:rsidR="009B6C76" w:rsidRPr="002974E4">
        <w:rPr>
          <w:sz w:val="24"/>
          <w:szCs w:val="24"/>
        </w:rPr>
        <w:t>procedure di</w:t>
      </w:r>
      <w:r w:rsidR="00607EDD">
        <w:rPr>
          <w:sz w:val="24"/>
          <w:szCs w:val="24"/>
        </w:rPr>
        <w:t xml:space="preserve"> </w:t>
      </w:r>
      <w:r w:rsidRPr="002974E4">
        <w:rPr>
          <w:sz w:val="24"/>
          <w:szCs w:val="24"/>
        </w:rPr>
        <w:t>funzionalità che consentano di comprendere nel registro previsto dall’art. 7, comma 1, del decreto ministeriale 10 novembre 2009, anche  gli obblighi  di cui al comma 1 del presente articolo</w:t>
      </w:r>
      <w:r w:rsidR="00ED3D67" w:rsidRPr="002974E4">
        <w:rPr>
          <w:sz w:val="24"/>
          <w:szCs w:val="24"/>
        </w:rPr>
        <w:t>.</w:t>
      </w:r>
    </w:p>
    <w:p w:rsidR="005B4330" w:rsidRPr="009E1113" w:rsidRDefault="009746E1" w:rsidP="005B4330">
      <w:pPr>
        <w:pStyle w:val="Paragrafoelenco"/>
        <w:numPr>
          <w:ilvl w:val="0"/>
          <w:numId w:val="36"/>
        </w:numPr>
        <w:spacing w:after="120"/>
        <w:ind w:left="426" w:hanging="426"/>
        <w:jc w:val="both"/>
        <w:rPr>
          <w:b/>
          <w:color w:val="000000" w:themeColor="text1"/>
          <w:sz w:val="24"/>
          <w:szCs w:val="24"/>
        </w:rPr>
      </w:pPr>
      <w:r w:rsidRPr="002974E4">
        <w:rPr>
          <w:color w:val="000000" w:themeColor="text1"/>
          <w:sz w:val="24"/>
          <w:szCs w:val="24"/>
        </w:rPr>
        <w:lastRenderedPageBreak/>
        <w:t xml:space="preserve">Nelle more </w:t>
      </w:r>
      <w:r w:rsidR="0038059A" w:rsidRPr="002974E4">
        <w:rPr>
          <w:color w:val="000000" w:themeColor="text1"/>
          <w:sz w:val="24"/>
          <w:szCs w:val="24"/>
        </w:rPr>
        <w:t xml:space="preserve">dell’attivazione dei servizi telematici di cui al comma 3, i registri sono tenuti secondo le modalità </w:t>
      </w:r>
      <w:r w:rsidR="00023A8C" w:rsidRPr="002974E4">
        <w:rPr>
          <w:color w:val="000000" w:themeColor="text1"/>
          <w:sz w:val="24"/>
          <w:szCs w:val="24"/>
        </w:rPr>
        <w:t>stabilit</w:t>
      </w:r>
      <w:r w:rsidR="00E21A9F">
        <w:rPr>
          <w:color w:val="000000" w:themeColor="text1"/>
          <w:sz w:val="24"/>
          <w:szCs w:val="24"/>
        </w:rPr>
        <w:t>e dall’ICQRF, d’intesa con AGEA.</w:t>
      </w:r>
      <w:r w:rsidR="009E1113">
        <w:rPr>
          <w:color w:val="000000" w:themeColor="text1"/>
          <w:sz w:val="24"/>
          <w:szCs w:val="24"/>
        </w:rPr>
        <w:t xml:space="preserve"> </w:t>
      </w:r>
    </w:p>
    <w:p w:rsidR="005C1900" w:rsidRDefault="005C1900" w:rsidP="00A747B4">
      <w:pPr>
        <w:spacing w:after="120"/>
        <w:jc w:val="center"/>
        <w:rPr>
          <w:szCs w:val="24"/>
        </w:rPr>
      </w:pPr>
    </w:p>
    <w:p w:rsidR="005C1900" w:rsidRDefault="005C1900" w:rsidP="00A747B4">
      <w:pPr>
        <w:spacing w:after="120"/>
        <w:jc w:val="center"/>
        <w:rPr>
          <w:szCs w:val="24"/>
        </w:rPr>
      </w:pPr>
    </w:p>
    <w:p w:rsidR="005B17E9" w:rsidRPr="00207FFC" w:rsidRDefault="005B17E9" w:rsidP="00A747B4">
      <w:pPr>
        <w:spacing w:after="120"/>
        <w:jc w:val="center"/>
        <w:rPr>
          <w:color w:val="FF0000"/>
          <w:szCs w:val="24"/>
        </w:rPr>
      </w:pPr>
      <w:r w:rsidRPr="00207FFC">
        <w:rPr>
          <w:szCs w:val="24"/>
        </w:rPr>
        <w:t xml:space="preserve">Art. 6  </w:t>
      </w:r>
    </w:p>
    <w:p w:rsidR="0004737E" w:rsidRDefault="005B17E9" w:rsidP="00A747B4">
      <w:pPr>
        <w:pStyle w:val="Paragrafoelenco"/>
        <w:spacing w:after="120"/>
        <w:ind w:left="0"/>
        <w:jc w:val="center"/>
        <w:rPr>
          <w:sz w:val="24"/>
          <w:szCs w:val="24"/>
        </w:rPr>
      </w:pPr>
      <w:r w:rsidRPr="00207FFC">
        <w:rPr>
          <w:sz w:val="24"/>
          <w:szCs w:val="24"/>
        </w:rPr>
        <w:t>(</w:t>
      </w:r>
      <w:r w:rsidRPr="00A747B4">
        <w:rPr>
          <w:i/>
          <w:sz w:val="24"/>
          <w:szCs w:val="24"/>
        </w:rPr>
        <w:t>Iscrizione al SIAN</w:t>
      </w:r>
      <w:r w:rsidRPr="00207FFC">
        <w:rPr>
          <w:sz w:val="24"/>
          <w:szCs w:val="24"/>
        </w:rPr>
        <w:t>)</w:t>
      </w:r>
    </w:p>
    <w:p w:rsidR="005B17E9" w:rsidRPr="00D76553" w:rsidRDefault="004B6D9D" w:rsidP="00A747B4">
      <w:pPr>
        <w:pStyle w:val="Paragrafoelenco"/>
        <w:numPr>
          <w:ilvl w:val="0"/>
          <w:numId w:val="17"/>
        </w:numPr>
        <w:tabs>
          <w:tab w:val="left" w:pos="284"/>
        </w:tabs>
        <w:spacing w:after="120"/>
        <w:ind w:left="284" w:hanging="284"/>
        <w:jc w:val="both"/>
        <w:rPr>
          <w:strike/>
          <w:sz w:val="24"/>
          <w:szCs w:val="24"/>
        </w:rPr>
      </w:pPr>
      <w:r w:rsidRPr="00D76553">
        <w:rPr>
          <w:sz w:val="24"/>
          <w:szCs w:val="24"/>
        </w:rPr>
        <w:t>Per l’applicazione delle disposizioni di cui al presente decreto</w:t>
      </w:r>
      <w:r w:rsidR="002974E4">
        <w:rPr>
          <w:sz w:val="24"/>
          <w:szCs w:val="24"/>
        </w:rPr>
        <w:t>,</w:t>
      </w:r>
      <w:r w:rsidRPr="00D76553">
        <w:rPr>
          <w:sz w:val="24"/>
          <w:szCs w:val="24"/>
        </w:rPr>
        <w:t xml:space="preserve"> </w:t>
      </w:r>
      <w:r w:rsidRPr="001949C1">
        <w:rPr>
          <w:sz w:val="24"/>
          <w:szCs w:val="24"/>
        </w:rPr>
        <w:t>gli</w:t>
      </w:r>
      <w:r w:rsidRPr="00D76553">
        <w:rPr>
          <w:sz w:val="24"/>
          <w:szCs w:val="24"/>
        </w:rPr>
        <w:t xml:space="preserve"> operatori e</w:t>
      </w:r>
      <w:r w:rsidR="002974E4">
        <w:rPr>
          <w:sz w:val="24"/>
          <w:szCs w:val="24"/>
        </w:rPr>
        <w:t xml:space="preserve"> </w:t>
      </w:r>
      <w:r w:rsidR="002974E4" w:rsidRPr="001949C1">
        <w:rPr>
          <w:sz w:val="24"/>
          <w:szCs w:val="24"/>
        </w:rPr>
        <w:t xml:space="preserve"> </w:t>
      </w:r>
      <w:r w:rsidRPr="00D76553">
        <w:rPr>
          <w:sz w:val="24"/>
          <w:szCs w:val="24"/>
        </w:rPr>
        <w:t xml:space="preserve">i commercianti di olive di cui al successivo art. 8, </w:t>
      </w:r>
      <w:r w:rsidR="001638B2" w:rsidRPr="001949C1">
        <w:rPr>
          <w:sz w:val="24"/>
          <w:szCs w:val="24"/>
        </w:rPr>
        <w:t>devono</w:t>
      </w:r>
      <w:r w:rsidR="002974E4">
        <w:rPr>
          <w:b/>
          <w:sz w:val="24"/>
          <w:szCs w:val="24"/>
        </w:rPr>
        <w:t xml:space="preserve"> </w:t>
      </w:r>
      <w:r w:rsidRPr="00D76553">
        <w:rPr>
          <w:sz w:val="24"/>
          <w:szCs w:val="24"/>
        </w:rPr>
        <w:t xml:space="preserve"> iscriversi al SIAN</w:t>
      </w:r>
      <w:r w:rsidR="00ED3D67">
        <w:rPr>
          <w:sz w:val="24"/>
          <w:szCs w:val="24"/>
        </w:rPr>
        <w:t xml:space="preserve"> e costituire e</w:t>
      </w:r>
      <w:r w:rsidRPr="00D76553">
        <w:rPr>
          <w:sz w:val="24"/>
          <w:szCs w:val="24"/>
        </w:rPr>
        <w:t xml:space="preserve"> aggiornare il </w:t>
      </w:r>
      <w:r w:rsidR="0018454B" w:rsidRPr="0018454B">
        <w:rPr>
          <w:sz w:val="24"/>
          <w:szCs w:val="24"/>
        </w:rPr>
        <w:t>fascicolo a</w:t>
      </w:r>
      <w:r w:rsidRPr="0018454B">
        <w:rPr>
          <w:sz w:val="24"/>
          <w:szCs w:val="24"/>
        </w:rPr>
        <w:t>ziendale</w:t>
      </w:r>
      <w:r w:rsidRPr="00D76553">
        <w:rPr>
          <w:sz w:val="24"/>
          <w:szCs w:val="24"/>
        </w:rPr>
        <w:t>, ai sensi di quanto disciplinato dal DPR n.</w:t>
      </w:r>
      <w:r w:rsidR="00607EDD">
        <w:rPr>
          <w:sz w:val="24"/>
          <w:szCs w:val="24"/>
        </w:rPr>
        <w:t xml:space="preserve"> </w:t>
      </w:r>
      <w:r w:rsidRPr="00D76553">
        <w:rPr>
          <w:sz w:val="24"/>
          <w:szCs w:val="24"/>
        </w:rPr>
        <w:t xml:space="preserve">503/1999 e successive modifiche ed integrazioni e secondo le disposizioni emanate dall’AGEA.  </w:t>
      </w:r>
    </w:p>
    <w:p w:rsidR="0038059A" w:rsidRDefault="0004737E" w:rsidP="00A747B4">
      <w:pPr>
        <w:tabs>
          <w:tab w:val="left" w:pos="284"/>
        </w:tabs>
        <w:autoSpaceDE w:val="0"/>
        <w:autoSpaceDN w:val="0"/>
        <w:adjustRightInd w:val="0"/>
        <w:spacing w:after="120"/>
        <w:ind w:left="284" w:hanging="284"/>
        <w:rPr>
          <w:szCs w:val="24"/>
        </w:rPr>
      </w:pPr>
      <w:r>
        <w:rPr>
          <w:szCs w:val="24"/>
        </w:rPr>
        <w:t>2.</w:t>
      </w:r>
      <w:r>
        <w:rPr>
          <w:szCs w:val="24"/>
        </w:rPr>
        <w:tab/>
      </w:r>
      <w:r w:rsidR="005B17E9" w:rsidRPr="005B17E9">
        <w:rPr>
          <w:szCs w:val="24"/>
        </w:rPr>
        <w:t>Tutti gli operatori di cui al comma 1 hanno l’obbligo di comunicare la cessazione e altre eventuali variazioni dell’attività</w:t>
      </w:r>
      <w:r w:rsidR="009746E1">
        <w:rPr>
          <w:szCs w:val="24"/>
        </w:rPr>
        <w:t>,</w:t>
      </w:r>
      <w:r w:rsidR="005B17E9" w:rsidRPr="005B17E9">
        <w:rPr>
          <w:szCs w:val="24"/>
        </w:rPr>
        <w:t xml:space="preserve"> utilizzando le apposite funzionalità telematich</w:t>
      </w:r>
      <w:r w:rsidR="009746E1">
        <w:rPr>
          <w:szCs w:val="24"/>
        </w:rPr>
        <w:t>e presenti sul portale del SIAN.</w:t>
      </w:r>
    </w:p>
    <w:p w:rsidR="005B17E9" w:rsidRPr="007A4831" w:rsidRDefault="005B17E9" w:rsidP="00A747B4">
      <w:pPr>
        <w:autoSpaceDE w:val="0"/>
        <w:autoSpaceDN w:val="0"/>
        <w:adjustRightInd w:val="0"/>
        <w:spacing w:after="120"/>
        <w:ind w:left="284" w:hanging="284"/>
        <w:rPr>
          <w:szCs w:val="24"/>
        </w:rPr>
      </w:pPr>
      <w:r w:rsidRPr="007A4831">
        <w:rPr>
          <w:szCs w:val="24"/>
        </w:rPr>
        <w:t xml:space="preserve">3. L’AGEA rende </w:t>
      </w:r>
      <w:r w:rsidRPr="002974E4">
        <w:rPr>
          <w:szCs w:val="24"/>
        </w:rPr>
        <w:t>disponibil</w:t>
      </w:r>
      <w:r w:rsidR="002974E4" w:rsidRPr="002974E4">
        <w:rPr>
          <w:szCs w:val="24"/>
        </w:rPr>
        <w:t>i</w:t>
      </w:r>
      <w:r w:rsidR="002974E4">
        <w:rPr>
          <w:b/>
          <w:szCs w:val="24"/>
        </w:rPr>
        <w:t xml:space="preserve"> </w:t>
      </w:r>
      <w:r w:rsidRPr="007A4831">
        <w:rPr>
          <w:szCs w:val="24"/>
        </w:rPr>
        <w:t xml:space="preserve"> al Ministero, all’ICQRF, alle Regioni </w:t>
      </w:r>
      <w:r w:rsidR="00304272" w:rsidRPr="007A4831">
        <w:rPr>
          <w:szCs w:val="24"/>
        </w:rPr>
        <w:t xml:space="preserve">ed </w:t>
      </w:r>
      <w:r w:rsidRPr="007A4831">
        <w:rPr>
          <w:szCs w:val="24"/>
        </w:rPr>
        <w:t>alle Province autonome</w:t>
      </w:r>
      <w:r w:rsidR="006B3E3A">
        <w:rPr>
          <w:szCs w:val="24"/>
        </w:rPr>
        <w:t xml:space="preserve"> </w:t>
      </w:r>
      <w:r w:rsidR="001638B2" w:rsidRPr="001949C1">
        <w:t>per quanto di competenza,</w:t>
      </w:r>
      <w:r w:rsidRPr="007A4831">
        <w:rPr>
          <w:szCs w:val="24"/>
        </w:rPr>
        <w:t xml:space="preserve"> le informazioni concernenti l’elenco delle imprese iscritte, nonché i dati e le informazioni previs</w:t>
      </w:r>
      <w:r w:rsidRPr="00E701E9">
        <w:rPr>
          <w:szCs w:val="24"/>
        </w:rPr>
        <w:t>t</w:t>
      </w:r>
      <w:r w:rsidRPr="00E701E9">
        <w:rPr>
          <w:strike/>
          <w:szCs w:val="24"/>
        </w:rPr>
        <w:t>e</w:t>
      </w:r>
      <w:r w:rsidRPr="007A4831">
        <w:rPr>
          <w:szCs w:val="24"/>
        </w:rPr>
        <w:t xml:space="preserve"> dall’articolo 5</w:t>
      </w:r>
      <w:r w:rsidR="00501A01" w:rsidRPr="007A4831">
        <w:rPr>
          <w:szCs w:val="24"/>
        </w:rPr>
        <w:t>.</w:t>
      </w:r>
    </w:p>
    <w:p w:rsidR="005B17E9" w:rsidRPr="005B17E9" w:rsidRDefault="005B17E9" w:rsidP="00A747B4">
      <w:pPr>
        <w:spacing w:after="120"/>
        <w:ind w:left="284" w:hanging="284"/>
        <w:rPr>
          <w:szCs w:val="24"/>
        </w:rPr>
      </w:pPr>
      <w:r w:rsidRPr="005B17E9">
        <w:rPr>
          <w:szCs w:val="24"/>
        </w:rPr>
        <w:t>4. L’AGEA rende accessibili alle Organizzazioni professionali e di categoria, le informazioni aggregate</w:t>
      </w:r>
      <w:r w:rsidR="009746E1">
        <w:rPr>
          <w:szCs w:val="24"/>
        </w:rPr>
        <w:t>,</w:t>
      </w:r>
      <w:r w:rsidRPr="005B17E9">
        <w:rPr>
          <w:szCs w:val="24"/>
        </w:rPr>
        <w:t xml:space="preserve"> concernenti l’attività delle imprese iscritte</w:t>
      </w:r>
      <w:r w:rsidR="009746E1">
        <w:rPr>
          <w:szCs w:val="24"/>
        </w:rPr>
        <w:t xml:space="preserve">, </w:t>
      </w:r>
      <w:r w:rsidR="00E701E9">
        <w:rPr>
          <w:szCs w:val="24"/>
        </w:rPr>
        <w:t>relativamente alla</w:t>
      </w:r>
      <w:r w:rsidRPr="00E701E9">
        <w:rPr>
          <w:szCs w:val="24"/>
        </w:rPr>
        <w:t xml:space="preserve"> produzione dell’olio per una data campagna oleicola.</w:t>
      </w:r>
    </w:p>
    <w:p w:rsidR="005B17E9" w:rsidRPr="001949C1" w:rsidRDefault="005B17E9" w:rsidP="00A747B4">
      <w:pPr>
        <w:spacing w:after="120"/>
        <w:ind w:left="284" w:hanging="284"/>
        <w:rPr>
          <w:szCs w:val="24"/>
        </w:rPr>
      </w:pPr>
      <w:r w:rsidRPr="001949C1">
        <w:rPr>
          <w:szCs w:val="24"/>
        </w:rPr>
        <w:t xml:space="preserve">5. </w:t>
      </w:r>
      <w:r w:rsidR="00481E3A" w:rsidRPr="001949C1">
        <w:rPr>
          <w:szCs w:val="24"/>
        </w:rPr>
        <w:t>L’AGEA consente a</w:t>
      </w:r>
      <w:r w:rsidR="00E01B7A" w:rsidRPr="001949C1">
        <w:rPr>
          <w:szCs w:val="24"/>
        </w:rPr>
        <w:t xml:space="preserve">lle </w:t>
      </w:r>
      <w:r w:rsidR="00696860" w:rsidRPr="001949C1">
        <w:rPr>
          <w:szCs w:val="24"/>
        </w:rPr>
        <w:t>S</w:t>
      </w:r>
      <w:r w:rsidR="00E01B7A" w:rsidRPr="001949C1">
        <w:rPr>
          <w:szCs w:val="24"/>
        </w:rPr>
        <w:t>trutture di controllo abilitate</w:t>
      </w:r>
      <w:r w:rsidR="00481E3A" w:rsidRPr="001949C1">
        <w:rPr>
          <w:szCs w:val="24"/>
        </w:rPr>
        <w:t xml:space="preserve"> l’accesso al portale SIAN per le operazioni di rispettiva competenza.</w:t>
      </w:r>
    </w:p>
    <w:p w:rsidR="00481E3A" w:rsidRPr="005B17E9" w:rsidRDefault="00481E3A" w:rsidP="00A747B4">
      <w:pPr>
        <w:spacing w:after="120"/>
        <w:ind w:left="284" w:hanging="284"/>
        <w:rPr>
          <w:szCs w:val="24"/>
        </w:rPr>
      </w:pPr>
      <w:r>
        <w:rPr>
          <w:szCs w:val="24"/>
        </w:rPr>
        <w:t xml:space="preserve">6. </w:t>
      </w:r>
      <w:r w:rsidRPr="005B17E9">
        <w:rPr>
          <w:szCs w:val="24"/>
        </w:rPr>
        <w:t xml:space="preserve">L’AGEA pubblica, con cadenza annuale, i dati produttivi </w:t>
      </w:r>
      <w:r w:rsidRPr="00D76553">
        <w:rPr>
          <w:szCs w:val="24"/>
        </w:rPr>
        <w:t>aggregati</w:t>
      </w:r>
      <w:r w:rsidR="00607EDD">
        <w:rPr>
          <w:szCs w:val="24"/>
        </w:rPr>
        <w:t xml:space="preserve"> </w:t>
      </w:r>
      <w:r w:rsidRPr="007A4831">
        <w:rPr>
          <w:szCs w:val="24"/>
        </w:rPr>
        <w:t>sul proprio sito internet e</w:t>
      </w:r>
      <w:r w:rsidRPr="005B17E9">
        <w:rPr>
          <w:szCs w:val="24"/>
        </w:rPr>
        <w:t xml:space="preserve">sul </w:t>
      </w:r>
      <w:r w:rsidRPr="0018454B">
        <w:rPr>
          <w:szCs w:val="24"/>
        </w:rPr>
        <w:t>portale</w:t>
      </w:r>
      <w:r w:rsidRPr="005B17E9">
        <w:rPr>
          <w:szCs w:val="24"/>
        </w:rPr>
        <w:t xml:space="preserve"> del SIAN area pubblica.</w:t>
      </w:r>
    </w:p>
    <w:p w:rsidR="005C1900" w:rsidRDefault="005C1900" w:rsidP="00A747B4">
      <w:pPr>
        <w:spacing w:after="120"/>
        <w:jc w:val="center"/>
        <w:rPr>
          <w:szCs w:val="24"/>
        </w:rPr>
      </w:pPr>
    </w:p>
    <w:p w:rsidR="00627E1A" w:rsidRPr="001638AD" w:rsidRDefault="00627E1A" w:rsidP="00A747B4">
      <w:pPr>
        <w:spacing w:after="120"/>
        <w:jc w:val="center"/>
        <w:rPr>
          <w:color w:val="FF0000"/>
          <w:szCs w:val="24"/>
        </w:rPr>
      </w:pPr>
      <w:r w:rsidRPr="001638AD">
        <w:rPr>
          <w:szCs w:val="24"/>
        </w:rPr>
        <w:t xml:space="preserve">Art. </w:t>
      </w:r>
      <w:r w:rsidR="005C0ADB" w:rsidRPr="001638AD">
        <w:rPr>
          <w:b/>
          <w:szCs w:val="24"/>
        </w:rPr>
        <w:t>7</w:t>
      </w:r>
    </w:p>
    <w:p w:rsidR="00627E1A" w:rsidRPr="001638AD" w:rsidRDefault="00627E1A" w:rsidP="00A747B4">
      <w:pPr>
        <w:spacing w:after="120"/>
        <w:jc w:val="center"/>
        <w:rPr>
          <w:szCs w:val="24"/>
        </w:rPr>
      </w:pPr>
      <w:r w:rsidRPr="001638AD">
        <w:rPr>
          <w:szCs w:val="24"/>
        </w:rPr>
        <w:t>(</w:t>
      </w:r>
      <w:r w:rsidRPr="00A747B4">
        <w:rPr>
          <w:i/>
          <w:szCs w:val="24"/>
        </w:rPr>
        <w:t>Imprese  di trasformazione delle olive da tavola</w:t>
      </w:r>
      <w:r w:rsidRPr="001638AD">
        <w:rPr>
          <w:szCs w:val="24"/>
        </w:rPr>
        <w:t>)</w:t>
      </w:r>
    </w:p>
    <w:p w:rsidR="00366A17" w:rsidRPr="001638AD" w:rsidRDefault="00366A17" w:rsidP="00A747B4">
      <w:pPr>
        <w:pStyle w:val="Paragrafoelenco"/>
        <w:numPr>
          <w:ilvl w:val="0"/>
          <w:numId w:val="32"/>
        </w:numPr>
        <w:spacing w:after="120"/>
        <w:ind w:left="284"/>
        <w:jc w:val="both"/>
        <w:rPr>
          <w:sz w:val="24"/>
          <w:szCs w:val="24"/>
        </w:rPr>
      </w:pPr>
      <w:r w:rsidRPr="001638AD">
        <w:rPr>
          <w:sz w:val="24"/>
          <w:szCs w:val="24"/>
        </w:rPr>
        <w:t xml:space="preserve">Al fine di </w:t>
      </w:r>
      <w:r w:rsidR="009746E1" w:rsidRPr="001638AD">
        <w:rPr>
          <w:sz w:val="24"/>
          <w:szCs w:val="24"/>
        </w:rPr>
        <w:t>consentire la regolare fornitura delle informazioni dovute</w:t>
      </w:r>
      <w:r w:rsidR="00607EDD">
        <w:rPr>
          <w:sz w:val="24"/>
          <w:szCs w:val="24"/>
        </w:rPr>
        <w:t xml:space="preserve"> </w:t>
      </w:r>
      <w:r w:rsidRPr="001638AD">
        <w:rPr>
          <w:sz w:val="24"/>
          <w:szCs w:val="24"/>
        </w:rPr>
        <w:t xml:space="preserve">al Consiglio Oleicolo Internazionale, le imprese di trasformazione delle olive da tavola </w:t>
      </w:r>
      <w:r w:rsidR="005A2ABE" w:rsidRPr="001638AD">
        <w:rPr>
          <w:sz w:val="24"/>
          <w:szCs w:val="24"/>
        </w:rPr>
        <w:t>trasmettono</w:t>
      </w:r>
      <w:r w:rsidRPr="001638AD">
        <w:rPr>
          <w:sz w:val="24"/>
          <w:szCs w:val="24"/>
        </w:rPr>
        <w:t xml:space="preserve">, entro il </w:t>
      </w:r>
      <w:r w:rsidR="009746E1" w:rsidRPr="001638AD">
        <w:rPr>
          <w:sz w:val="24"/>
          <w:szCs w:val="24"/>
        </w:rPr>
        <w:t xml:space="preserve">giorno </w:t>
      </w:r>
      <w:r w:rsidRPr="001638AD">
        <w:rPr>
          <w:sz w:val="24"/>
          <w:szCs w:val="24"/>
        </w:rPr>
        <w:t xml:space="preserve">10 di ogni mese, i dati relativi alla produzione di olive da tavola del mese precedente, </w:t>
      </w:r>
      <w:r w:rsidR="009746E1" w:rsidRPr="001638AD">
        <w:rPr>
          <w:sz w:val="24"/>
          <w:szCs w:val="24"/>
        </w:rPr>
        <w:t xml:space="preserve">utilizzando le </w:t>
      </w:r>
      <w:r w:rsidRPr="001638AD">
        <w:rPr>
          <w:sz w:val="24"/>
          <w:szCs w:val="24"/>
        </w:rPr>
        <w:t>modalità telematiche nell'ambito dei servizi del SIAN, secondo le disposizioni emanate dall’AGEA</w:t>
      </w:r>
      <w:r w:rsidR="00BD3EA3">
        <w:rPr>
          <w:sz w:val="24"/>
          <w:szCs w:val="24"/>
        </w:rPr>
        <w:t>.</w:t>
      </w:r>
      <w:r w:rsidRPr="001638AD">
        <w:rPr>
          <w:sz w:val="24"/>
          <w:szCs w:val="24"/>
        </w:rPr>
        <w:t xml:space="preserve"> </w:t>
      </w:r>
    </w:p>
    <w:p w:rsidR="00366A17" w:rsidRDefault="00366A17" w:rsidP="00A747B4">
      <w:pPr>
        <w:pStyle w:val="Paragrafoelenco"/>
        <w:numPr>
          <w:ilvl w:val="0"/>
          <w:numId w:val="32"/>
        </w:numPr>
        <w:spacing w:after="120"/>
        <w:ind w:left="284"/>
        <w:jc w:val="both"/>
        <w:rPr>
          <w:sz w:val="24"/>
          <w:szCs w:val="24"/>
        </w:rPr>
      </w:pPr>
      <w:r w:rsidRPr="001638AD">
        <w:rPr>
          <w:sz w:val="24"/>
          <w:szCs w:val="24"/>
        </w:rPr>
        <w:t xml:space="preserve">Le </w:t>
      </w:r>
      <w:r w:rsidR="005A2ABE" w:rsidRPr="001638AD">
        <w:rPr>
          <w:sz w:val="24"/>
          <w:szCs w:val="24"/>
        </w:rPr>
        <w:t>informazioni</w:t>
      </w:r>
      <w:r w:rsidRPr="001638AD">
        <w:rPr>
          <w:sz w:val="24"/>
          <w:szCs w:val="24"/>
        </w:rPr>
        <w:t xml:space="preserve"> di cui al comma 1 possono essere trasmesse anche tramite le associazioni di categoria maggiormente rappresentative a livello nazionale e i centri di assistenza agricola (CAA), fermo restante la responsabilità dell’impresa di trasformazione delle olive da tavola per il dato comunicato dal delegato.</w:t>
      </w:r>
    </w:p>
    <w:p w:rsidR="00607EDD" w:rsidRPr="00F40E7D" w:rsidRDefault="00607EDD" w:rsidP="00A747B4">
      <w:pPr>
        <w:pStyle w:val="Paragrafoelenco"/>
        <w:numPr>
          <w:ilvl w:val="0"/>
          <w:numId w:val="32"/>
        </w:numPr>
        <w:spacing w:after="120"/>
        <w:ind w:left="284"/>
        <w:jc w:val="both"/>
        <w:rPr>
          <w:sz w:val="24"/>
          <w:szCs w:val="24"/>
        </w:rPr>
      </w:pPr>
      <w:r w:rsidRPr="00F40E7D">
        <w:rPr>
          <w:sz w:val="24"/>
          <w:szCs w:val="24"/>
        </w:rPr>
        <w:t xml:space="preserve">I controlli </w:t>
      </w:r>
      <w:r w:rsidR="005B5B9A" w:rsidRPr="00F40E7D">
        <w:rPr>
          <w:sz w:val="24"/>
          <w:szCs w:val="24"/>
        </w:rPr>
        <w:t xml:space="preserve">amministrativi </w:t>
      </w:r>
      <w:r w:rsidRPr="00F40E7D">
        <w:rPr>
          <w:sz w:val="24"/>
          <w:szCs w:val="24"/>
        </w:rPr>
        <w:t>sugli adempimenti previsti ai commi 1 e 2 sono svolti dall’AGEA.</w:t>
      </w:r>
    </w:p>
    <w:p w:rsidR="005C1900" w:rsidRDefault="005C1900" w:rsidP="00A747B4">
      <w:pPr>
        <w:autoSpaceDE w:val="0"/>
        <w:autoSpaceDN w:val="0"/>
        <w:adjustRightInd w:val="0"/>
        <w:spacing w:after="120"/>
        <w:jc w:val="center"/>
        <w:rPr>
          <w:i/>
        </w:rPr>
      </w:pPr>
    </w:p>
    <w:p w:rsidR="005C0ADB" w:rsidRPr="00ED2563" w:rsidRDefault="005C0ADB" w:rsidP="00A747B4">
      <w:pPr>
        <w:autoSpaceDE w:val="0"/>
        <w:autoSpaceDN w:val="0"/>
        <w:adjustRightInd w:val="0"/>
        <w:spacing w:after="120"/>
        <w:jc w:val="center"/>
        <w:rPr>
          <w:i/>
        </w:rPr>
      </w:pPr>
      <w:r w:rsidRPr="00ED2563">
        <w:rPr>
          <w:i/>
        </w:rPr>
        <w:t>Art. 8</w:t>
      </w:r>
    </w:p>
    <w:p w:rsidR="005C0ADB" w:rsidRDefault="005C0ADB" w:rsidP="00A747B4">
      <w:pPr>
        <w:spacing w:after="120"/>
        <w:jc w:val="center"/>
        <w:rPr>
          <w:bCs/>
          <w:szCs w:val="24"/>
        </w:rPr>
      </w:pPr>
      <w:r w:rsidRPr="00207FFC">
        <w:rPr>
          <w:szCs w:val="24"/>
        </w:rPr>
        <w:t>(</w:t>
      </w:r>
      <w:r w:rsidRPr="00A747B4">
        <w:rPr>
          <w:i/>
          <w:szCs w:val="24"/>
        </w:rPr>
        <w:t>Modifiche al decreto ministeriale 10 novembre 2009“Disposizioni nazionali relative alle norme di commercializzazione dell'olio d’oliva”)</w:t>
      </w:r>
    </w:p>
    <w:p w:rsidR="003D4FBD" w:rsidRPr="00E701E9" w:rsidRDefault="003D4FBD" w:rsidP="00A747B4">
      <w:pPr>
        <w:pStyle w:val="Paragrafoelenco"/>
        <w:numPr>
          <w:ilvl w:val="0"/>
          <w:numId w:val="11"/>
        </w:numPr>
        <w:spacing w:after="120"/>
        <w:ind w:left="284" w:hanging="284"/>
        <w:jc w:val="both"/>
        <w:rPr>
          <w:sz w:val="24"/>
          <w:szCs w:val="24"/>
        </w:rPr>
      </w:pPr>
      <w:r w:rsidRPr="00E701E9">
        <w:rPr>
          <w:sz w:val="24"/>
          <w:szCs w:val="24"/>
        </w:rPr>
        <w:t>Il decreto ministeriale 10 n</w:t>
      </w:r>
      <w:r w:rsidR="00EC50B1">
        <w:rPr>
          <w:sz w:val="24"/>
          <w:szCs w:val="24"/>
        </w:rPr>
        <w:t>ovembre 2009 è così  modificato:</w:t>
      </w:r>
    </w:p>
    <w:p w:rsidR="003D4FBD" w:rsidRPr="00E701E9" w:rsidRDefault="003D4FBD" w:rsidP="00A747B4">
      <w:pPr>
        <w:pStyle w:val="Paragrafoelenco"/>
        <w:numPr>
          <w:ilvl w:val="0"/>
          <w:numId w:val="27"/>
        </w:numPr>
        <w:spacing w:after="120"/>
        <w:rPr>
          <w:sz w:val="24"/>
          <w:szCs w:val="24"/>
        </w:rPr>
      </w:pPr>
      <w:r w:rsidRPr="00E701E9">
        <w:rPr>
          <w:sz w:val="24"/>
          <w:szCs w:val="24"/>
        </w:rPr>
        <w:t>a</w:t>
      </w:r>
      <w:r w:rsidR="002F5DFA" w:rsidRPr="00E701E9">
        <w:rPr>
          <w:sz w:val="24"/>
          <w:szCs w:val="24"/>
        </w:rPr>
        <w:t>l</w:t>
      </w:r>
      <w:r w:rsidRPr="00E701E9">
        <w:rPr>
          <w:sz w:val="24"/>
          <w:szCs w:val="24"/>
        </w:rPr>
        <w:t xml:space="preserve"> comma 1 del</w:t>
      </w:r>
      <w:r w:rsidR="002F5DFA" w:rsidRPr="00E701E9">
        <w:rPr>
          <w:sz w:val="24"/>
          <w:szCs w:val="24"/>
        </w:rPr>
        <w:t>l</w:t>
      </w:r>
      <w:r w:rsidR="005C0ADB" w:rsidRPr="00E701E9">
        <w:rPr>
          <w:sz w:val="24"/>
          <w:szCs w:val="24"/>
        </w:rPr>
        <w:t xml:space="preserve">’art. </w:t>
      </w:r>
      <w:r w:rsidR="002F5DFA" w:rsidRPr="00E701E9">
        <w:rPr>
          <w:sz w:val="24"/>
          <w:szCs w:val="24"/>
        </w:rPr>
        <w:t>2</w:t>
      </w:r>
      <w:r w:rsidR="001638AD">
        <w:rPr>
          <w:sz w:val="24"/>
          <w:szCs w:val="24"/>
        </w:rPr>
        <w:t>,</w:t>
      </w:r>
      <w:r w:rsidR="00607EDD">
        <w:rPr>
          <w:sz w:val="24"/>
          <w:szCs w:val="24"/>
        </w:rPr>
        <w:t xml:space="preserve"> </w:t>
      </w:r>
      <w:r w:rsidR="00536CC6" w:rsidRPr="00D76553">
        <w:rPr>
          <w:sz w:val="24"/>
          <w:szCs w:val="24"/>
        </w:rPr>
        <w:t>sono aggiunte</w:t>
      </w:r>
      <w:r w:rsidR="00D76553" w:rsidRPr="00D76553">
        <w:rPr>
          <w:sz w:val="24"/>
          <w:szCs w:val="24"/>
        </w:rPr>
        <w:t xml:space="preserve"> le</w:t>
      </w:r>
      <w:r w:rsidR="00536CC6" w:rsidRPr="00D76553">
        <w:rPr>
          <w:sz w:val="24"/>
          <w:szCs w:val="24"/>
        </w:rPr>
        <w:t xml:space="preserve"> seguent</w:t>
      </w:r>
      <w:r w:rsidR="00D76553" w:rsidRPr="00D76553">
        <w:rPr>
          <w:sz w:val="24"/>
          <w:szCs w:val="24"/>
        </w:rPr>
        <w:t>i lettere</w:t>
      </w:r>
      <w:r w:rsidR="002F5DFA" w:rsidRPr="00D76553">
        <w:rPr>
          <w:sz w:val="24"/>
          <w:szCs w:val="24"/>
        </w:rPr>
        <w:t>:</w:t>
      </w:r>
    </w:p>
    <w:p w:rsidR="00536CC6" w:rsidRPr="0018454B" w:rsidRDefault="00D76553" w:rsidP="00A747B4">
      <w:pPr>
        <w:pStyle w:val="Paragrafoelenco"/>
        <w:spacing w:after="120"/>
        <w:ind w:left="709"/>
        <w:jc w:val="both"/>
        <w:rPr>
          <w:sz w:val="24"/>
          <w:szCs w:val="24"/>
        </w:rPr>
      </w:pPr>
      <w:r w:rsidRPr="0018454B">
        <w:rPr>
          <w:i/>
          <w:sz w:val="24"/>
          <w:szCs w:val="24"/>
        </w:rPr>
        <w:t>“</w:t>
      </w:r>
      <w:r w:rsidR="002F5DFA" w:rsidRPr="0018454B">
        <w:rPr>
          <w:i/>
          <w:sz w:val="24"/>
          <w:szCs w:val="24"/>
        </w:rPr>
        <w:t xml:space="preserve"> i)</w:t>
      </w:r>
      <w:r w:rsidR="00DD4F51" w:rsidRPr="0018454B">
        <w:rPr>
          <w:sz w:val="24"/>
          <w:szCs w:val="24"/>
        </w:rPr>
        <w:t xml:space="preserve"> «</w:t>
      </w:r>
      <w:r w:rsidR="002F5DFA" w:rsidRPr="0018454B">
        <w:rPr>
          <w:i/>
          <w:sz w:val="24"/>
          <w:szCs w:val="24"/>
        </w:rPr>
        <w:t>commercianti di olive</w:t>
      </w:r>
      <w:r w:rsidR="00DD4F51" w:rsidRPr="0018454B">
        <w:rPr>
          <w:sz w:val="24"/>
          <w:szCs w:val="24"/>
        </w:rPr>
        <w:t>»</w:t>
      </w:r>
      <w:r w:rsidR="002F5DFA" w:rsidRPr="0018454B">
        <w:rPr>
          <w:sz w:val="24"/>
          <w:szCs w:val="24"/>
        </w:rPr>
        <w:t>, l’impresa che effettua l’acquisto e la vendita di olive de</w:t>
      </w:r>
      <w:r w:rsidRPr="0018454B">
        <w:rPr>
          <w:sz w:val="24"/>
          <w:szCs w:val="24"/>
        </w:rPr>
        <w:t>stinate alla produzione di olio</w:t>
      </w:r>
      <w:r w:rsidR="00536CC6" w:rsidRPr="0018454B">
        <w:rPr>
          <w:sz w:val="24"/>
          <w:szCs w:val="24"/>
        </w:rPr>
        <w:t>;</w:t>
      </w:r>
    </w:p>
    <w:p w:rsidR="002F5DFA" w:rsidRPr="0018454B" w:rsidRDefault="00BD3EA3" w:rsidP="00A747B4">
      <w:pPr>
        <w:pStyle w:val="Paragrafoelenco"/>
        <w:spacing w:after="120"/>
        <w:ind w:left="709"/>
        <w:jc w:val="both"/>
        <w:rPr>
          <w:sz w:val="24"/>
          <w:szCs w:val="24"/>
        </w:rPr>
      </w:pPr>
      <w:r w:rsidRPr="00607EDD">
        <w:rPr>
          <w:i/>
          <w:sz w:val="24"/>
          <w:szCs w:val="24"/>
        </w:rPr>
        <w:lastRenderedPageBreak/>
        <w:t>l</w:t>
      </w:r>
      <w:r w:rsidR="00536CC6" w:rsidRPr="00607EDD">
        <w:rPr>
          <w:i/>
          <w:sz w:val="24"/>
          <w:szCs w:val="24"/>
        </w:rPr>
        <w:t>)</w:t>
      </w:r>
      <w:r w:rsidR="00536CC6" w:rsidRPr="0018454B">
        <w:rPr>
          <w:sz w:val="24"/>
          <w:szCs w:val="24"/>
        </w:rPr>
        <w:t xml:space="preserve"> «</w:t>
      </w:r>
      <w:r w:rsidR="00536CC6" w:rsidRPr="0018454B">
        <w:rPr>
          <w:i/>
          <w:sz w:val="24"/>
          <w:szCs w:val="24"/>
        </w:rPr>
        <w:t>olivicoltore</w:t>
      </w:r>
      <w:r w:rsidR="00536CC6" w:rsidRPr="0018454B">
        <w:rPr>
          <w:sz w:val="24"/>
          <w:szCs w:val="24"/>
        </w:rPr>
        <w:t>»</w:t>
      </w:r>
      <w:r w:rsidR="00536CC6" w:rsidRPr="0018454B">
        <w:rPr>
          <w:i/>
          <w:sz w:val="24"/>
          <w:szCs w:val="24"/>
        </w:rPr>
        <w:t xml:space="preserve">, </w:t>
      </w:r>
      <w:r w:rsidR="00536CC6" w:rsidRPr="0018454B">
        <w:rPr>
          <w:sz w:val="24"/>
          <w:szCs w:val="24"/>
        </w:rPr>
        <w:t xml:space="preserve">soggetto </w:t>
      </w:r>
      <w:r w:rsidR="00936F65" w:rsidRPr="0018454B">
        <w:rPr>
          <w:sz w:val="24"/>
          <w:szCs w:val="24"/>
        </w:rPr>
        <w:t xml:space="preserve">che </w:t>
      </w:r>
      <w:r w:rsidR="001E57CA" w:rsidRPr="0018454B">
        <w:rPr>
          <w:sz w:val="24"/>
          <w:szCs w:val="24"/>
        </w:rPr>
        <w:t>possiede</w:t>
      </w:r>
      <w:r w:rsidR="00936F65" w:rsidRPr="0018454B">
        <w:rPr>
          <w:sz w:val="24"/>
          <w:szCs w:val="24"/>
        </w:rPr>
        <w:t xml:space="preserve"> oliveti che producono olive destinate alla produzione di olio.</w:t>
      </w:r>
      <w:r w:rsidR="00D76553" w:rsidRPr="0018454B">
        <w:rPr>
          <w:sz w:val="24"/>
          <w:szCs w:val="24"/>
        </w:rPr>
        <w:t>”</w:t>
      </w:r>
    </w:p>
    <w:p w:rsidR="005C0ADB" w:rsidRPr="00E701E9" w:rsidRDefault="003D4FBD" w:rsidP="00A747B4">
      <w:pPr>
        <w:pStyle w:val="Paragrafoelenco"/>
        <w:numPr>
          <w:ilvl w:val="0"/>
          <w:numId w:val="27"/>
        </w:numPr>
        <w:spacing w:after="120"/>
        <w:rPr>
          <w:sz w:val="24"/>
          <w:szCs w:val="24"/>
        </w:rPr>
      </w:pPr>
      <w:r w:rsidRPr="00E701E9">
        <w:rPr>
          <w:sz w:val="24"/>
          <w:szCs w:val="24"/>
        </w:rPr>
        <w:t>all</w:t>
      </w:r>
      <w:r w:rsidR="002F5DFA" w:rsidRPr="00E701E9">
        <w:rPr>
          <w:sz w:val="24"/>
          <w:szCs w:val="24"/>
        </w:rPr>
        <w:t>’art. 7</w:t>
      </w:r>
      <w:r w:rsidR="001638AD">
        <w:rPr>
          <w:sz w:val="24"/>
          <w:szCs w:val="24"/>
        </w:rPr>
        <w:t>,</w:t>
      </w:r>
      <w:r w:rsidR="00607EDD">
        <w:rPr>
          <w:sz w:val="24"/>
          <w:szCs w:val="24"/>
        </w:rPr>
        <w:t xml:space="preserve"> </w:t>
      </w:r>
      <w:r w:rsidRPr="00E701E9">
        <w:rPr>
          <w:sz w:val="24"/>
          <w:szCs w:val="24"/>
        </w:rPr>
        <w:t>i commi 1, 2 e</w:t>
      </w:r>
      <w:r w:rsidR="00607EDD">
        <w:rPr>
          <w:sz w:val="24"/>
          <w:szCs w:val="24"/>
        </w:rPr>
        <w:t xml:space="preserve"> </w:t>
      </w:r>
      <w:r w:rsidR="00B7120C" w:rsidRPr="00B3030B">
        <w:rPr>
          <w:sz w:val="24"/>
          <w:szCs w:val="24"/>
        </w:rPr>
        <w:t>3</w:t>
      </w:r>
      <w:r w:rsidRPr="00E701E9">
        <w:rPr>
          <w:sz w:val="24"/>
          <w:szCs w:val="24"/>
        </w:rPr>
        <w:t xml:space="preserve"> sono sostituiti da</w:t>
      </w:r>
      <w:r w:rsidR="00B7120C">
        <w:rPr>
          <w:sz w:val="24"/>
          <w:szCs w:val="24"/>
        </w:rPr>
        <w:t>i</w:t>
      </w:r>
      <w:r w:rsidRPr="00E701E9">
        <w:rPr>
          <w:sz w:val="24"/>
          <w:szCs w:val="24"/>
        </w:rPr>
        <w:t xml:space="preserve"> commi seguenti</w:t>
      </w:r>
      <w:r w:rsidR="002F5DFA" w:rsidRPr="00E701E9">
        <w:rPr>
          <w:sz w:val="24"/>
          <w:szCs w:val="24"/>
        </w:rPr>
        <w:t>:</w:t>
      </w:r>
    </w:p>
    <w:p w:rsidR="005C0D3A" w:rsidRPr="00E701E9" w:rsidRDefault="00DD4F51" w:rsidP="00A747B4">
      <w:pPr>
        <w:pStyle w:val="Paragrafoelenco"/>
        <w:spacing w:after="120"/>
        <w:ind w:left="851"/>
        <w:jc w:val="both"/>
        <w:rPr>
          <w:i/>
          <w:sz w:val="24"/>
          <w:szCs w:val="24"/>
        </w:rPr>
      </w:pPr>
      <w:r w:rsidRPr="00E701E9">
        <w:rPr>
          <w:sz w:val="24"/>
          <w:szCs w:val="24"/>
        </w:rPr>
        <w:t xml:space="preserve"> “</w:t>
      </w:r>
      <w:r w:rsidR="003D4FBD" w:rsidRPr="00E701E9">
        <w:rPr>
          <w:sz w:val="24"/>
          <w:szCs w:val="24"/>
        </w:rPr>
        <w:t xml:space="preserve">1. </w:t>
      </w:r>
      <w:r w:rsidRPr="00E701E9">
        <w:rPr>
          <w:i/>
          <w:sz w:val="24"/>
          <w:szCs w:val="24"/>
        </w:rPr>
        <w:t>Ai fini dei controlli, i frantoi, le imprese di condizionamento e i commercianti di olio sfuso sono obbligati alla tenuta di un registro per ogni stabilimento e deposito, nel quale sono annotati i carichi e gli scarichi di olive destinate alla produzione di olio, le produzioni, i movimenti e le lavorazioni dell'olio extra vergine di oliva e dell'olio di oliva vergine.</w:t>
      </w:r>
    </w:p>
    <w:p w:rsidR="00DD4F51" w:rsidRPr="00DD4F51" w:rsidRDefault="00DD4F51" w:rsidP="00A747B4">
      <w:pPr>
        <w:pStyle w:val="Paragrafoelenco"/>
        <w:spacing w:after="120"/>
        <w:ind w:left="851"/>
        <w:jc w:val="both"/>
        <w:rPr>
          <w:i/>
          <w:sz w:val="24"/>
          <w:szCs w:val="24"/>
        </w:rPr>
      </w:pPr>
      <w:r w:rsidRPr="00E701E9">
        <w:rPr>
          <w:i/>
          <w:sz w:val="24"/>
          <w:szCs w:val="24"/>
        </w:rPr>
        <w:t xml:space="preserve"> Nel caso di </w:t>
      </w:r>
      <w:r w:rsidR="00A162C8" w:rsidRPr="00E701E9">
        <w:rPr>
          <w:i/>
          <w:sz w:val="24"/>
          <w:szCs w:val="24"/>
        </w:rPr>
        <w:t xml:space="preserve">produzione e/o di </w:t>
      </w:r>
      <w:r w:rsidRPr="00E701E9">
        <w:rPr>
          <w:i/>
          <w:sz w:val="24"/>
          <w:szCs w:val="24"/>
        </w:rPr>
        <w:t>lavorazione</w:t>
      </w:r>
      <w:r w:rsidR="00A162C8" w:rsidRPr="00E701E9">
        <w:rPr>
          <w:i/>
          <w:sz w:val="24"/>
          <w:szCs w:val="24"/>
        </w:rPr>
        <w:t xml:space="preserve"> e/o di detenzione</w:t>
      </w:r>
      <w:r w:rsidRPr="00E701E9">
        <w:rPr>
          <w:i/>
          <w:sz w:val="24"/>
          <w:szCs w:val="24"/>
        </w:rPr>
        <w:t xml:space="preserve"> per conto terzi, i registri sono tenuti da chi procede materialmente alla </w:t>
      </w:r>
      <w:r w:rsidR="00C4579D" w:rsidRPr="00E701E9">
        <w:rPr>
          <w:i/>
          <w:sz w:val="24"/>
          <w:szCs w:val="24"/>
        </w:rPr>
        <w:t xml:space="preserve">produzione e/o </w:t>
      </w:r>
      <w:r w:rsidR="00A162C8" w:rsidRPr="00E701E9">
        <w:rPr>
          <w:i/>
          <w:sz w:val="24"/>
          <w:szCs w:val="24"/>
        </w:rPr>
        <w:t xml:space="preserve">alla </w:t>
      </w:r>
      <w:r w:rsidRPr="00E701E9">
        <w:rPr>
          <w:i/>
          <w:sz w:val="24"/>
          <w:szCs w:val="24"/>
        </w:rPr>
        <w:t>lavorazione e/o alla detenzione</w:t>
      </w:r>
      <w:r w:rsidR="005C0D3A" w:rsidRPr="00E701E9">
        <w:rPr>
          <w:i/>
          <w:sz w:val="24"/>
          <w:szCs w:val="24"/>
        </w:rPr>
        <w:t xml:space="preserve"> degli oli</w:t>
      </w:r>
      <w:r w:rsidRPr="00E701E9">
        <w:rPr>
          <w:i/>
          <w:sz w:val="24"/>
          <w:szCs w:val="24"/>
        </w:rPr>
        <w:t>.</w:t>
      </w:r>
      <w:r w:rsidR="00495B62" w:rsidRPr="00E701E9">
        <w:rPr>
          <w:i/>
          <w:sz w:val="24"/>
          <w:szCs w:val="24"/>
        </w:rPr>
        <w:t>”</w:t>
      </w:r>
    </w:p>
    <w:p w:rsidR="00216FA0" w:rsidRPr="00216FA0" w:rsidRDefault="005C0ADB" w:rsidP="00A747B4">
      <w:pPr>
        <w:pStyle w:val="Paragrafoelenco"/>
        <w:spacing w:after="120"/>
        <w:ind w:left="851"/>
        <w:jc w:val="both"/>
        <w:rPr>
          <w:sz w:val="24"/>
          <w:szCs w:val="24"/>
        </w:rPr>
      </w:pPr>
      <w:r w:rsidRPr="00E701E9">
        <w:rPr>
          <w:sz w:val="24"/>
          <w:szCs w:val="24"/>
        </w:rPr>
        <w:t>“2.</w:t>
      </w:r>
      <w:r w:rsidR="00BD3EA3">
        <w:rPr>
          <w:sz w:val="24"/>
          <w:szCs w:val="24"/>
        </w:rPr>
        <w:t xml:space="preserve"> </w:t>
      </w:r>
      <w:r w:rsidR="002F5DFA" w:rsidRPr="00E701E9">
        <w:rPr>
          <w:i/>
          <w:sz w:val="24"/>
          <w:szCs w:val="24"/>
        </w:rPr>
        <w:t>I commercianti di olive</w:t>
      </w:r>
      <w:r w:rsidR="00D1459E">
        <w:rPr>
          <w:i/>
          <w:sz w:val="24"/>
          <w:szCs w:val="24"/>
        </w:rPr>
        <w:t xml:space="preserve"> </w:t>
      </w:r>
      <w:r w:rsidR="002F5DFA" w:rsidRPr="00E701E9">
        <w:rPr>
          <w:i/>
          <w:sz w:val="24"/>
          <w:szCs w:val="24"/>
        </w:rPr>
        <w:t xml:space="preserve">sono </w:t>
      </w:r>
      <w:r w:rsidR="00060650" w:rsidRPr="00E701E9">
        <w:rPr>
          <w:i/>
          <w:sz w:val="24"/>
          <w:szCs w:val="24"/>
        </w:rPr>
        <w:t>obbligati alla tenuta</w:t>
      </w:r>
      <w:r w:rsidR="002F5DFA" w:rsidRPr="00E701E9">
        <w:rPr>
          <w:i/>
          <w:sz w:val="24"/>
          <w:szCs w:val="24"/>
        </w:rPr>
        <w:t xml:space="preserve"> del registro di</w:t>
      </w:r>
      <w:r w:rsidR="00DD4F51" w:rsidRPr="00E701E9">
        <w:rPr>
          <w:i/>
          <w:sz w:val="24"/>
          <w:szCs w:val="24"/>
        </w:rPr>
        <w:t xml:space="preserve"> cui al comma 1 nel quale sono annotati i carichi e gli scarichi di olive</w:t>
      </w:r>
      <w:r w:rsidR="00D1459E">
        <w:rPr>
          <w:i/>
          <w:sz w:val="24"/>
          <w:szCs w:val="24"/>
        </w:rPr>
        <w:t xml:space="preserve"> </w:t>
      </w:r>
      <w:r w:rsidR="00495B62" w:rsidRPr="00E701E9">
        <w:rPr>
          <w:i/>
          <w:sz w:val="24"/>
          <w:szCs w:val="24"/>
        </w:rPr>
        <w:t xml:space="preserve">anche </w:t>
      </w:r>
      <w:r w:rsidR="00060650" w:rsidRPr="00E701E9">
        <w:rPr>
          <w:i/>
          <w:sz w:val="24"/>
          <w:szCs w:val="24"/>
        </w:rPr>
        <w:t>in assenza di deposito/stabilimento</w:t>
      </w:r>
      <w:r w:rsidR="00DA4D3E">
        <w:rPr>
          <w:i/>
          <w:sz w:val="24"/>
          <w:szCs w:val="24"/>
        </w:rPr>
        <w:t>”.</w:t>
      </w:r>
    </w:p>
    <w:p w:rsidR="00B4025D" w:rsidRDefault="002B4226" w:rsidP="00A747B4">
      <w:pPr>
        <w:pStyle w:val="Paragrafoelenco"/>
        <w:spacing w:after="120"/>
        <w:ind w:left="851"/>
        <w:jc w:val="both"/>
        <w:rPr>
          <w:i/>
          <w:sz w:val="24"/>
          <w:szCs w:val="24"/>
        </w:rPr>
      </w:pPr>
      <w:r w:rsidRPr="00D76553">
        <w:rPr>
          <w:sz w:val="24"/>
          <w:szCs w:val="24"/>
        </w:rPr>
        <w:t>“</w:t>
      </w:r>
      <w:r w:rsidR="00B3030B">
        <w:rPr>
          <w:sz w:val="24"/>
          <w:szCs w:val="24"/>
        </w:rPr>
        <w:t>3</w:t>
      </w:r>
      <w:r w:rsidR="00BD3EA3">
        <w:rPr>
          <w:sz w:val="24"/>
          <w:szCs w:val="24"/>
        </w:rPr>
        <w:t>.</w:t>
      </w:r>
      <w:r w:rsidR="00B3030B">
        <w:rPr>
          <w:sz w:val="24"/>
          <w:szCs w:val="24"/>
        </w:rPr>
        <w:t xml:space="preserve"> </w:t>
      </w:r>
      <w:r w:rsidRPr="00D76553">
        <w:rPr>
          <w:i/>
          <w:sz w:val="24"/>
          <w:szCs w:val="24"/>
        </w:rPr>
        <w:t xml:space="preserve">Gli olivicoltori </w:t>
      </w:r>
      <w:r w:rsidR="00B3030B">
        <w:rPr>
          <w:i/>
          <w:sz w:val="24"/>
          <w:szCs w:val="24"/>
        </w:rPr>
        <w:t>devono</w:t>
      </w:r>
      <w:r w:rsidRPr="00D76553">
        <w:rPr>
          <w:i/>
          <w:sz w:val="24"/>
          <w:szCs w:val="24"/>
        </w:rPr>
        <w:t xml:space="preserve">  costituire e\o ag</w:t>
      </w:r>
      <w:r w:rsidR="00B3030B">
        <w:rPr>
          <w:i/>
          <w:sz w:val="24"/>
          <w:szCs w:val="24"/>
        </w:rPr>
        <w:t xml:space="preserve">giornare il fascicolo aziendale. Tale obbligo deve essere assolto prima </w:t>
      </w:r>
      <w:r w:rsidRPr="00D76553">
        <w:rPr>
          <w:i/>
          <w:sz w:val="24"/>
          <w:szCs w:val="24"/>
        </w:rPr>
        <w:t>della commercializzazione delle olive</w:t>
      </w:r>
      <w:r w:rsidRPr="001949C1">
        <w:rPr>
          <w:i/>
          <w:sz w:val="24"/>
          <w:szCs w:val="24"/>
        </w:rPr>
        <w:t xml:space="preserve"> e</w:t>
      </w:r>
      <w:r w:rsidR="001638B2" w:rsidRPr="001949C1">
        <w:rPr>
          <w:i/>
          <w:sz w:val="24"/>
          <w:szCs w:val="24"/>
        </w:rPr>
        <w:t>/o</w:t>
      </w:r>
      <w:r w:rsidRPr="00D76553">
        <w:rPr>
          <w:i/>
          <w:sz w:val="24"/>
          <w:szCs w:val="24"/>
        </w:rPr>
        <w:t xml:space="preserve"> prima della molitura delle olive</w:t>
      </w:r>
      <w:r w:rsidRPr="001949C1">
        <w:rPr>
          <w:i/>
          <w:sz w:val="24"/>
          <w:szCs w:val="24"/>
        </w:rPr>
        <w:t>.</w:t>
      </w:r>
    </w:p>
    <w:p w:rsidR="00B4025D" w:rsidRPr="00D76553" w:rsidRDefault="004E1B55" w:rsidP="00A747B4">
      <w:pPr>
        <w:pStyle w:val="Paragrafoelenco"/>
        <w:spacing w:after="120"/>
        <w:ind w:left="851"/>
        <w:jc w:val="both"/>
        <w:rPr>
          <w:i/>
          <w:sz w:val="24"/>
          <w:szCs w:val="24"/>
        </w:rPr>
      </w:pPr>
      <w:r>
        <w:rPr>
          <w:i/>
          <w:sz w:val="24"/>
          <w:szCs w:val="24"/>
        </w:rPr>
        <w:t>Non s</w:t>
      </w:r>
      <w:r w:rsidR="00B4025D" w:rsidRPr="00D76553">
        <w:rPr>
          <w:i/>
          <w:sz w:val="24"/>
          <w:szCs w:val="24"/>
        </w:rPr>
        <w:t xml:space="preserve">ono tenuti all’obbligo di costituire e/o aggiornare il fascicolo aziendale gli olivicoltori che </w:t>
      </w:r>
      <w:r w:rsidR="001E57CA">
        <w:rPr>
          <w:i/>
          <w:sz w:val="24"/>
          <w:szCs w:val="24"/>
        </w:rPr>
        <w:t>possiedono</w:t>
      </w:r>
      <w:r w:rsidR="00B4025D" w:rsidRPr="00D76553">
        <w:rPr>
          <w:i/>
          <w:sz w:val="24"/>
          <w:szCs w:val="24"/>
        </w:rPr>
        <w:t xml:space="preserve"> oliveti che producono olio destinato</w:t>
      </w:r>
      <w:r w:rsidR="00257FB4">
        <w:rPr>
          <w:i/>
          <w:sz w:val="24"/>
          <w:szCs w:val="24"/>
        </w:rPr>
        <w:t xml:space="preserve"> esclusivamente all’autoconsumo e</w:t>
      </w:r>
      <w:r w:rsidR="00B4025D" w:rsidRPr="00D76553">
        <w:rPr>
          <w:i/>
          <w:sz w:val="24"/>
          <w:szCs w:val="24"/>
        </w:rPr>
        <w:t xml:space="preserve"> la cui produzione non supera 200 kg di olio per campagna di commercializzazione (</w:t>
      </w:r>
      <w:r w:rsidR="00B4025D" w:rsidRPr="0018454B">
        <w:rPr>
          <w:i/>
          <w:sz w:val="24"/>
          <w:szCs w:val="24"/>
        </w:rPr>
        <w:t>dal 1° luglio al 30 giugno dell’anno successivo</w:t>
      </w:r>
      <w:r w:rsidR="00B4025D" w:rsidRPr="00D76553">
        <w:rPr>
          <w:i/>
          <w:sz w:val="24"/>
          <w:szCs w:val="24"/>
        </w:rPr>
        <w:t>).</w:t>
      </w:r>
    </w:p>
    <w:p w:rsidR="00257FB4" w:rsidRDefault="002B4226" w:rsidP="00A747B4">
      <w:pPr>
        <w:pStyle w:val="Paragrafoelenco"/>
        <w:spacing w:after="120"/>
        <w:ind w:left="851"/>
        <w:jc w:val="both"/>
        <w:rPr>
          <w:i/>
          <w:sz w:val="24"/>
          <w:szCs w:val="24"/>
        </w:rPr>
      </w:pPr>
      <w:r w:rsidRPr="00D76553">
        <w:rPr>
          <w:i/>
          <w:sz w:val="24"/>
          <w:szCs w:val="24"/>
        </w:rPr>
        <w:t xml:space="preserve">Nell’ambito del fascicolo aziendale </w:t>
      </w:r>
      <w:r w:rsidR="0018454B">
        <w:rPr>
          <w:i/>
          <w:sz w:val="24"/>
          <w:szCs w:val="24"/>
        </w:rPr>
        <w:t>gli olivicoltori f</w:t>
      </w:r>
      <w:r w:rsidR="0018454B" w:rsidRPr="00D76553">
        <w:rPr>
          <w:i/>
          <w:sz w:val="24"/>
          <w:szCs w:val="24"/>
        </w:rPr>
        <w:t>orni</w:t>
      </w:r>
      <w:r w:rsidR="0018454B">
        <w:rPr>
          <w:i/>
          <w:sz w:val="24"/>
          <w:szCs w:val="24"/>
        </w:rPr>
        <w:t>scono</w:t>
      </w:r>
      <w:r w:rsidR="006A5A52">
        <w:rPr>
          <w:i/>
          <w:sz w:val="24"/>
          <w:szCs w:val="24"/>
        </w:rPr>
        <w:t>,</w:t>
      </w:r>
      <w:r w:rsidR="0018454B">
        <w:rPr>
          <w:i/>
          <w:sz w:val="24"/>
          <w:szCs w:val="24"/>
        </w:rPr>
        <w:t xml:space="preserve"> altresì</w:t>
      </w:r>
      <w:r w:rsidRPr="00D76553">
        <w:rPr>
          <w:i/>
          <w:sz w:val="24"/>
          <w:szCs w:val="24"/>
        </w:rPr>
        <w:t>, le informazioni riguardanti il numero delle piante e</w:t>
      </w:r>
      <w:r w:rsidR="002006CA" w:rsidRPr="00D76553">
        <w:rPr>
          <w:i/>
          <w:sz w:val="24"/>
          <w:szCs w:val="24"/>
        </w:rPr>
        <w:t>,</w:t>
      </w:r>
      <w:r w:rsidR="00607EDD">
        <w:rPr>
          <w:i/>
          <w:sz w:val="24"/>
          <w:szCs w:val="24"/>
        </w:rPr>
        <w:t xml:space="preserve"> </w:t>
      </w:r>
      <w:r w:rsidR="002006CA" w:rsidRPr="00D76553">
        <w:rPr>
          <w:i/>
          <w:sz w:val="24"/>
          <w:szCs w:val="24"/>
        </w:rPr>
        <w:t xml:space="preserve">se nota, </w:t>
      </w:r>
      <w:r w:rsidRPr="00D76553">
        <w:rPr>
          <w:i/>
          <w:sz w:val="24"/>
          <w:szCs w:val="24"/>
        </w:rPr>
        <w:t>la varietà</w:t>
      </w:r>
      <w:r w:rsidR="00607EDD">
        <w:rPr>
          <w:i/>
          <w:sz w:val="24"/>
          <w:szCs w:val="24"/>
        </w:rPr>
        <w:t xml:space="preserve"> </w:t>
      </w:r>
      <w:r w:rsidRPr="00D76553">
        <w:rPr>
          <w:i/>
          <w:sz w:val="24"/>
          <w:szCs w:val="24"/>
        </w:rPr>
        <w:t>coltivata nonché altre informazioni utili alla tracciabilità di prodotto.</w:t>
      </w:r>
    </w:p>
    <w:p w:rsidR="002B4226" w:rsidRDefault="002B4226" w:rsidP="00A747B4">
      <w:pPr>
        <w:pStyle w:val="Paragrafoelenco"/>
        <w:spacing w:after="120"/>
        <w:ind w:left="851"/>
        <w:jc w:val="both"/>
        <w:rPr>
          <w:i/>
          <w:sz w:val="24"/>
          <w:szCs w:val="24"/>
        </w:rPr>
      </w:pPr>
      <w:r w:rsidRPr="00D76553">
        <w:rPr>
          <w:i/>
          <w:sz w:val="24"/>
          <w:szCs w:val="24"/>
        </w:rPr>
        <w:t>Gli Organismi Pagatori sono tenuti a fornire tempestivamente ad AGEA i dati di cui al presente comma</w:t>
      </w:r>
      <w:r w:rsidR="00B3030B">
        <w:rPr>
          <w:i/>
          <w:sz w:val="24"/>
          <w:szCs w:val="24"/>
        </w:rPr>
        <w:t>,</w:t>
      </w:r>
      <w:r w:rsidRPr="00D76553">
        <w:rPr>
          <w:i/>
          <w:sz w:val="24"/>
          <w:szCs w:val="24"/>
        </w:rPr>
        <w:t xml:space="preserve"> secondo le modalità e le procedure che </w:t>
      </w:r>
      <w:r w:rsidR="00625D92">
        <w:rPr>
          <w:i/>
          <w:sz w:val="24"/>
          <w:szCs w:val="24"/>
        </w:rPr>
        <w:t>l’</w:t>
      </w:r>
      <w:r w:rsidRPr="00131959">
        <w:rPr>
          <w:i/>
          <w:sz w:val="24"/>
          <w:szCs w:val="24"/>
        </w:rPr>
        <w:t>A</w:t>
      </w:r>
      <w:r w:rsidR="00625D92">
        <w:rPr>
          <w:i/>
          <w:sz w:val="24"/>
          <w:szCs w:val="24"/>
        </w:rPr>
        <w:t>GEA</w:t>
      </w:r>
      <w:r w:rsidRPr="00D76553">
        <w:rPr>
          <w:i/>
          <w:sz w:val="24"/>
          <w:szCs w:val="24"/>
        </w:rPr>
        <w:t xml:space="preserve"> stessa comunicherà con appositi provvedimenti</w:t>
      </w:r>
      <w:r w:rsidR="00D76553" w:rsidRPr="00D76553">
        <w:rPr>
          <w:i/>
          <w:sz w:val="24"/>
          <w:szCs w:val="24"/>
        </w:rPr>
        <w:t>”</w:t>
      </w:r>
      <w:r w:rsidR="00936F65" w:rsidRPr="00D76553">
        <w:rPr>
          <w:i/>
          <w:sz w:val="24"/>
          <w:szCs w:val="24"/>
        </w:rPr>
        <w:t>.</w:t>
      </w:r>
    </w:p>
    <w:p w:rsidR="005C1900" w:rsidRDefault="005C1900" w:rsidP="00A747B4">
      <w:pPr>
        <w:spacing w:after="120"/>
        <w:jc w:val="center"/>
        <w:rPr>
          <w:i/>
          <w:szCs w:val="24"/>
        </w:rPr>
      </w:pPr>
    </w:p>
    <w:p w:rsidR="005C0ADB" w:rsidRPr="00ED2563" w:rsidRDefault="005C0ADB" w:rsidP="00A747B4">
      <w:pPr>
        <w:spacing w:after="120"/>
        <w:jc w:val="center"/>
        <w:rPr>
          <w:i/>
          <w:szCs w:val="24"/>
        </w:rPr>
      </w:pPr>
      <w:r w:rsidRPr="00ED2563">
        <w:rPr>
          <w:i/>
          <w:szCs w:val="24"/>
        </w:rPr>
        <w:t>Art. 9</w:t>
      </w:r>
    </w:p>
    <w:p w:rsidR="005C0ADB" w:rsidRPr="002F5DFA" w:rsidRDefault="005C0ADB" w:rsidP="00A747B4">
      <w:pPr>
        <w:pStyle w:val="Paragrafoelenco"/>
        <w:spacing w:after="120"/>
        <w:ind w:left="0"/>
        <w:jc w:val="center"/>
        <w:rPr>
          <w:sz w:val="24"/>
          <w:szCs w:val="24"/>
        </w:rPr>
      </w:pPr>
      <w:r w:rsidRPr="002F5DFA">
        <w:rPr>
          <w:sz w:val="24"/>
          <w:szCs w:val="24"/>
        </w:rPr>
        <w:t>(</w:t>
      </w:r>
      <w:r w:rsidR="002F5DFA" w:rsidRPr="00A747B4">
        <w:rPr>
          <w:i/>
          <w:sz w:val="24"/>
          <w:szCs w:val="24"/>
        </w:rPr>
        <w:t>C</w:t>
      </w:r>
      <w:r w:rsidRPr="00A747B4">
        <w:rPr>
          <w:i/>
          <w:sz w:val="24"/>
          <w:szCs w:val="24"/>
        </w:rPr>
        <w:t>omunicazioni</w:t>
      </w:r>
      <w:r w:rsidRPr="002F5DFA">
        <w:rPr>
          <w:sz w:val="24"/>
          <w:szCs w:val="24"/>
        </w:rPr>
        <w:t>)</w:t>
      </w:r>
    </w:p>
    <w:p w:rsidR="00BE4012" w:rsidRPr="00E701E9" w:rsidRDefault="00BE4012" w:rsidP="00A747B4">
      <w:pPr>
        <w:numPr>
          <w:ilvl w:val="0"/>
          <w:numId w:val="7"/>
        </w:numPr>
        <w:spacing w:after="120"/>
        <w:ind w:left="284" w:hanging="284"/>
        <w:rPr>
          <w:szCs w:val="24"/>
        </w:rPr>
      </w:pPr>
      <w:r w:rsidRPr="00E701E9">
        <w:rPr>
          <w:szCs w:val="24"/>
        </w:rPr>
        <w:t>L’ICQRF</w:t>
      </w:r>
      <w:r w:rsidR="0038563E">
        <w:rPr>
          <w:szCs w:val="24"/>
        </w:rPr>
        <w:t xml:space="preserve"> </w:t>
      </w:r>
      <w:r w:rsidRPr="00E701E9">
        <w:rPr>
          <w:szCs w:val="24"/>
        </w:rPr>
        <w:t>comunica al Ministero</w:t>
      </w:r>
      <w:r w:rsidR="0038563E">
        <w:rPr>
          <w:szCs w:val="24"/>
        </w:rPr>
        <w:t xml:space="preserve"> </w:t>
      </w:r>
      <w:hyperlink r:id="rId10" w:tooltip="DIPEISR - Dipartimento delle politiche europee e internazionali e dello sviluppo rurale" w:history="1">
        <w:r>
          <w:rPr>
            <w:szCs w:val="24"/>
          </w:rPr>
          <w:t xml:space="preserve">- </w:t>
        </w:r>
        <w:r w:rsidRPr="00770CC3">
          <w:rPr>
            <w:szCs w:val="24"/>
          </w:rPr>
          <w:t>Dipartimento delle politiche europee e internazionali e dello sviluppo rurale</w:t>
        </w:r>
      </w:hyperlink>
      <w:r w:rsidR="0038563E">
        <w:t xml:space="preserve"> </w:t>
      </w:r>
      <w:r>
        <w:rPr>
          <w:szCs w:val="24"/>
        </w:rPr>
        <w:t xml:space="preserve">- </w:t>
      </w:r>
      <w:r w:rsidRPr="00E701E9">
        <w:rPr>
          <w:szCs w:val="24"/>
        </w:rPr>
        <w:t>i risultati dei controlli di conformità effettuati sugli oli d’oliva.</w:t>
      </w:r>
    </w:p>
    <w:p w:rsidR="00BE4012" w:rsidRDefault="004F4D08" w:rsidP="00A747B4">
      <w:pPr>
        <w:numPr>
          <w:ilvl w:val="0"/>
          <w:numId w:val="7"/>
        </w:numPr>
        <w:spacing w:after="120"/>
        <w:ind w:left="284" w:hanging="284"/>
        <w:rPr>
          <w:szCs w:val="24"/>
        </w:rPr>
      </w:pPr>
      <w:hyperlink r:id="rId11" w:tooltip="DIPEISR - Dipartimento delle politiche europee e internazionali e dello sviluppo rurale" w:history="1">
        <w:r w:rsidR="00BE4012">
          <w:rPr>
            <w:szCs w:val="24"/>
          </w:rPr>
          <w:t xml:space="preserve">Il </w:t>
        </w:r>
        <w:r w:rsidR="00BE4012" w:rsidRPr="00770CC3">
          <w:rPr>
            <w:szCs w:val="24"/>
          </w:rPr>
          <w:t>Dipartimento d</w:t>
        </w:r>
        <w:r w:rsidR="00BE4012">
          <w:rPr>
            <w:szCs w:val="24"/>
          </w:rPr>
          <w:t>i cui al comma 1</w:t>
        </w:r>
      </w:hyperlink>
      <w:r w:rsidR="0038563E">
        <w:t xml:space="preserve"> </w:t>
      </w:r>
      <w:r w:rsidR="00BE4012" w:rsidRPr="00E701E9">
        <w:rPr>
          <w:szCs w:val="24"/>
        </w:rPr>
        <w:t xml:space="preserve">comunica alla Commissione europea le misure adottate per l’applicazione del regolamento e trasmette la relazione </w:t>
      </w:r>
      <w:r w:rsidR="00BE4012">
        <w:rPr>
          <w:szCs w:val="24"/>
        </w:rPr>
        <w:t>prevista al</w:t>
      </w:r>
      <w:r w:rsidR="00BE4012" w:rsidRPr="00E701E9">
        <w:rPr>
          <w:szCs w:val="24"/>
        </w:rPr>
        <w:t>l</w:t>
      </w:r>
      <w:r w:rsidR="00ED3D67">
        <w:rPr>
          <w:szCs w:val="24"/>
        </w:rPr>
        <w:t>’</w:t>
      </w:r>
      <w:r w:rsidR="00BE4012" w:rsidRPr="00E701E9">
        <w:rPr>
          <w:szCs w:val="24"/>
        </w:rPr>
        <w:t>articolo 8, paragrafo 2</w:t>
      </w:r>
      <w:r w:rsidR="00ED3D67">
        <w:rPr>
          <w:szCs w:val="24"/>
        </w:rPr>
        <w:t>, dello stesso regolamento</w:t>
      </w:r>
      <w:r w:rsidR="00BE4012" w:rsidRPr="00E701E9">
        <w:rPr>
          <w:szCs w:val="24"/>
        </w:rPr>
        <w:t>.</w:t>
      </w:r>
    </w:p>
    <w:p w:rsidR="005C1900" w:rsidRDefault="005C1900" w:rsidP="00ED3D67">
      <w:pPr>
        <w:tabs>
          <w:tab w:val="left" w:pos="4213"/>
          <w:tab w:val="center" w:pos="4819"/>
        </w:tabs>
        <w:spacing w:after="120"/>
        <w:jc w:val="center"/>
      </w:pPr>
    </w:p>
    <w:p w:rsidR="00ED3D67" w:rsidRDefault="00ED3D67" w:rsidP="00ED3D67">
      <w:pPr>
        <w:tabs>
          <w:tab w:val="left" w:pos="4213"/>
          <w:tab w:val="center" w:pos="4819"/>
        </w:tabs>
        <w:spacing w:after="120"/>
        <w:jc w:val="center"/>
      </w:pPr>
      <w:r w:rsidRPr="00E701E9">
        <w:t>Articolo 1</w:t>
      </w:r>
      <w:r>
        <w:t>0</w:t>
      </w:r>
    </w:p>
    <w:p w:rsidR="00ED3D67" w:rsidRDefault="00ED3D67" w:rsidP="00ED3D67">
      <w:pPr>
        <w:spacing w:after="120"/>
        <w:jc w:val="center"/>
      </w:pPr>
      <w:r>
        <w:t>(</w:t>
      </w:r>
      <w:r w:rsidR="00607EDD">
        <w:rPr>
          <w:i/>
        </w:rPr>
        <w:t>O</w:t>
      </w:r>
      <w:r w:rsidRPr="003D4FBD">
        <w:rPr>
          <w:i/>
        </w:rPr>
        <w:t>neri informativi</w:t>
      </w:r>
      <w:r>
        <w:t>)</w:t>
      </w:r>
    </w:p>
    <w:p w:rsidR="00ED3D67" w:rsidRPr="00E701E9" w:rsidRDefault="00ED3D67" w:rsidP="00ED3D67">
      <w:pPr>
        <w:pStyle w:val="NormaleWeb"/>
        <w:numPr>
          <w:ilvl w:val="0"/>
          <w:numId w:val="8"/>
        </w:numPr>
        <w:tabs>
          <w:tab w:val="left" w:pos="284"/>
        </w:tabs>
        <w:spacing w:before="0" w:beforeAutospacing="0" w:after="120" w:afterAutospacing="0"/>
        <w:ind w:left="284" w:hanging="284"/>
        <w:jc w:val="both"/>
      </w:pPr>
      <w:r w:rsidRPr="000B76B4">
        <w:t>In attuazione della Direttiva PCM 16.01.2013 e del DPCM 25.01.2013, l’elenco degli oneri informativi gravanti sui cittadini e le imprese, introdotti o eliminati con il presente provvedimento, è riportato nell’allegato 1</w:t>
      </w:r>
      <w:r w:rsidRPr="00E701E9">
        <w:t>.</w:t>
      </w:r>
    </w:p>
    <w:p w:rsidR="00ED3D67" w:rsidRPr="00E701E9" w:rsidRDefault="00ED3D67" w:rsidP="00ED3D67">
      <w:pPr>
        <w:spacing w:after="120"/>
        <w:ind w:left="284"/>
        <w:rPr>
          <w:szCs w:val="24"/>
        </w:rPr>
      </w:pPr>
    </w:p>
    <w:p w:rsidR="00627E1A" w:rsidRPr="007A4831" w:rsidRDefault="00627E1A" w:rsidP="00A747B4">
      <w:pPr>
        <w:spacing w:after="120"/>
        <w:jc w:val="center"/>
        <w:rPr>
          <w:szCs w:val="24"/>
        </w:rPr>
      </w:pPr>
      <w:r w:rsidRPr="00207FFC">
        <w:rPr>
          <w:szCs w:val="24"/>
        </w:rPr>
        <w:t xml:space="preserve">Art. </w:t>
      </w:r>
      <w:r w:rsidR="005C0ADB" w:rsidRPr="007A4831">
        <w:rPr>
          <w:szCs w:val="24"/>
        </w:rPr>
        <w:t>1</w:t>
      </w:r>
      <w:r w:rsidR="00ED3D67">
        <w:rPr>
          <w:szCs w:val="24"/>
        </w:rPr>
        <w:t>1</w:t>
      </w:r>
    </w:p>
    <w:p w:rsidR="00627E1A" w:rsidRPr="00207FFC" w:rsidRDefault="00627E1A" w:rsidP="00A747B4">
      <w:pPr>
        <w:spacing w:after="120"/>
        <w:jc w:val="center"/>
        <w:rPr>
          <w:szCs w:val="24"/>
        </w:rPr>
      </w:pPr>
      <w:r w:rsidRPr="00207FFC">
        <w:rPr>
          <w:szCs w:val="24"/>
        </w:rPr>
        <w:t>(</w:t>
      </w:r>
      <w:r w:rsidRPr="00A747B4">
        <w:rPr>
          <w:i/>
          <w:szCs w:val="24"/>
        </w:rPr>
        <w:t>Abrogazioni</w:t>
      </w:r>
      <w:r w:rsidRPr="00207FFC">
        <w:rPr>
          <w:szCs w:val="24"/>
        </w:rPr>
        <w:t>)</w:t>
      </w:r>
    </w:p>
    <w:p w:rsidR="00207682" w:rsidRDefault="00207682" w:rsidP="00A747B4">
      <w:pPr>
        <w:pStyle w:val="provvr0"/>
        <w:numPr>
          <w:ilvl w:val="0"/>
          <w:numId w:val="29"/>
        </w:numPr>
        <w:spacing w:before="0" w:beforeAutospacing="0" w:after="120" w:afterAutospacing="0"/>
      </w:pPr>
      <w:r>
        <w:lastRenderedPageBreak/>
        <w:t>I</w:t>
      </w:r>
      <w:r w:rsidR="002006CA" w:rsidRPr="00D76553">
        <w:t xml:space="preserve">l decreto 4 luglio 2007 pubblicato nella Gazzetta Ufficiale della Repubblica italiana n. 222 del 24 settembre 2007 </w:t>
      </w:r>
      <w:r>
        <w:t>è</w:t>
      </w:r>
      <w:r w:rsidRPr="00D76553">
        <w:t xml:space="preserve"> abrogato</w:t>
      </w:r>
      <w:r>
        <w:t>.</w:t>
      </w:r>
    </w:p>
    <w:p w:rsidR="005C1900" w:rsidRDefault="005C1900" w:rsidP="006A5A52">
      <w:pPr>
        <w:spacing w:after="120"/>
        <w:jc w:val="center"/>
        <w:rPr>
          <w:b/>
        </w:rPr>
      </w:pPr>
    </w:p>
    <w:p w:rsidR="006A5A52" w:rsidRPr="001949C1" w:rsidRDefault="006A5A52" w:rsidP="006A5A52">
      <w:pPr>
        <w:spacing w:after="120"/>
        <w:jc w:val="center"/>
      </w:pPr>
      <w:r w:rsidRPr="001949C1">
        <w:t>Art. 12</w:t>
      </w:r>
    </w:p>
    <w:p w:rsidR="006A5A52" w:rsidRPr="001949C1" w:rsidRDefault="006A5A52" w:rsidP="006A5A52">
      <w:pPr>
        <w:spacing w:after="120"/>
        <w:jc w:val="center"/>
      </w:pPr>
      <w:r w:rsidRPr="001949C1">
        <w:t>(</w:t>
      </w:r>
      <w:r w:rsidRPr="001949C1">
        <w:rPr>
          <w:i/>
        </w:rPr>
        <w:t>Disposizioni transitorie</w:t>
      </w:r>
      <w:r w:rsidRPr="001949C1">
        <w:t>)</w:t>
      </w:r>
    </w:p>
    <w:p w:rsidR="006A5A52" w:rsidRPr="001949C1" w:rsidRDefault="006A5A52" w:rsidP="006A5A52">
      <w:pPr>
        <w:pStyle w:val="provvr0"/>
        <w:numPr>
          <w:ilvl w:val="0"/>
          <w:numId w:val="33"/>
        </w:numPr>
        <w:spacing w:before="0" w:beforeAutospacing="0" w:after="120" w:afterAutospacing="0"/>
        <w:rPr>
          <w:i/>
        </w:rPr>
      </w:pPr>
      <w:r w:rsidRPr="001949C1">
        <w:rPr>
          <w:i/>
        </w:rPr>
        <w:t>Sino alla completa attivazione delle funzionalità di cui all’ art. 5, comma 7, i frantoi e le imprese di trasformazione delle olive da tavola, anche tramite le associazioni di categoria maggiormente rappresentative a livello nazionale e i centri autorizzati di assistenza fiscale (CAAF), trasmettono in forma elettronica all’AGEA, entro il 10 di ogni mese, i dati relativi alla produzione di oli di oliva e di olive da tavola del mese precedente, secondo quanto di seguito specificato.</w:t>
      </w:r>
    </w:p>
    <w:p w:rsidR="006A5A52" w:rsidRPr="001949C1" w:rsidRDefault="006A5A52" w:rsidP="006A5A52">
      <w:pPr>
        <w:pStyle w:val="provvr0"/>
        <w:numPr>
          <w:ilvl w:val="0"/>
          <w:numId w:val="33"/>
        </w:numPr>
        <w:spacing w:before="0" w:beforeAutospacing="0" w:after="120" w:afterAutospacing="0"/>
        <w:rPr>
          <w:i/>
        </w:rPr>
      </w:pPr>
      <w:r w:rsidRPr="001949C1">
        <w:rPr>
          <w:i/>
        </w:rPr>
        <w:t>All’AGEA sono trasmessi in forma elettronica i seguenti elementi identificativi:</w:t>
      </w:r>
    </w:p>
    <w:p w:rsidR="006A5A52" w:rsidRPr="001949C1" w:rsidRDefault="006A5A52" w:rsidP="006A5A52">
      <w:pPr>
        <w:pStyle w:val="provvr0"/>
        <w:numPr>
          <w:ilvl w:val="0"/>
          <w:numId w:val="34"/>
        </w:numPr>
        <w:spacing w:before="0" w:beforeAutospacing="0" w:after="120" w:afterAutospacing="0"/>
        <w:ind w:left="709" w:hanging="284"/>
        <w:rPr>
          <w:i/>
        </w:rPr>
      </w:pPr>
      <w:r w:rsidRPr="001949C1">
        <w:rPr>
          <w:i/>
        </w:rPr>
        <w:t>denominazione;</w:t>
      </w:r>
    </w:p>
    <w:p w:rsidR="006A5A52" w:rsidRPr="001949C1" w:rsidRDefault="006A5A52" w:rsidP="006A5A52">
      <w:pPr>
        <w:pStyle w:val="provvr0"/>
        <w:numPr>
          <w:ilvl w:val="0"/>
          <w:numId w:val="34"/>
        </w:numPr>
        <w:spacing w:before="0" w:beforeAutospacing="0" w:after="120" w:afterAutospacing="0"/>
        <w:ind w:left="709" w:hanging="284"/>
        <w:rPr>
          <w:i/>
        </w:rPr>
      </w:pPr>
      <w:r w:rsidRPr="001949C1">
        <w:rPr>
          <w:i/>
        </w:rPr>
        <w:t>codice fiscale;</w:t>
      </w:r>
    </w:p>
    <w:p w:rsidR="006A5A52" w:rsidRPr="001949C1" w:rsidRDefault="006A5A52" w:rsidP="006A5A52">
      <w:pPr>
        <w:pStyle w:val="provvr0"/>
        <w:numPr>
          <w:ilvl w:val="0"/>
          <w:numId w:val="34"/>
        </w:numPr>
        <w:spacing w:before="0" w:beforeAutospacing="0" w:after="120" w:afterAutospacing="0"/>
        <w:ind w:left="709" w:hanging="284"/>
        <w:rPr>
          <w:i/>
        </w:rPr>
      </w:pPr>
      <w:r w:rsidRPr="001949C1">
        <w:rPr>
          <w:i/>
        </w:rPr>
        <w:t>ubicazione dell’impianto (indirizzo: via, comune, provincia);</w:t>
      </w:r>
    </w:p>
    <w:p w:rsidR="006A5A52" w:rsidRPr="001949C1" w:rsidRDefault="006A5A52" w:rsidP="006A5A52">
      <w:pPr>
        <w:pStyle w:val="provvr0"/>
        <w:numPr>
          <w:ilvl w:val="0"/>
          <w:numId w:val="34"/>
        </w:numPr>
        <w:spacing w:before="0" w:beforeAutospacing="0" w:after="120" w:afterAutospacing="0"/>
        <w:ind w:left="709" w:hanging="284"/>
        <w:rPr>
          <w:i/>
        </w:rPr>
      </w:pPr>
      <w:r w:rsidRPr="001949C1">
        <w:rPr>
          <w:i/>
        </w:rPr>
        <w:t>tipologia dell’impianto (a pressione, continuo, percolante, integrale);</w:t>
      </w:r>
    </w:p>
    <w:p w:rsidR="006A5A52" w:rsidRPr="001949C1" w:rsidRDefault="006A5A52" w:rsidP="006A5A52">
      <w:pPr>
        <w:pStyle w:val="provvr0"/>
        <w:numPr>
          <w:ilvl w:val="0"/>
          <w:numId w:val="34"/>
        </w:numPr>
        <w:spacing w:before="0" w:beforeAutospacing="0" w:after="120" w:afterAutospacing="0"/>
        <w:ind w:left="709" w:hanging="284"/>
        <w:rPr>
          <w:i/>
        </w:rPr>
      </w:pPr>
      <w:r w:rsidRPr="001949C1">
        <w:rPr>
          <w:i/>
        </w:rPr>
        <w:t>capacità potenziale di lavorazione (tonnellate di olive nelle 8 ore).</w:t>
      </w:r>
    </w:p>
    <w:p w:rsidR="006A5A52" w:rsidRPr="001949C1" w:rsidRDefault="006A5A52" w:rsidP="006A5A52">
      <w:pPr>
        <w:pStyle w:val="provvr0"/>
        <w:numPr>
          <w:ilvl w:val="0"/>
          <w:numId w:val="33"/>
        </w:numPr>
        <w:spacing w:before="0" w:beforeAutospacing="0" w:after="120" w:afterAutospacing="0"/>
        <w:rPr>
          <w:i/>
        </w:rPr>
      </w:pPr>
      <w:r w:rsidRPr="001949C1">
        <w:rPr>
          <w:i/>
        </w:rPr>
        <w:t>I frantoi e le imprese di trasformazione delle olive da tavola registrati nel SIAN, comunicano all’ AGEA eventuali variazioni rispetto ai dati registrati, incluse le cessazioni di attività, con le stesse modalità indicate al comma 2.</w:t>
      </w:r>
    </w:p>
    <w:p w:rsidR="005C1900" w:rsidRDefault="005C1900" w:rsidP="00B6152F">
      <w:pPr>
        <w:spacing w:after="120"/>
        <w:jc w:val="center"/>
        <w:rPr>
          <w:b/>
          <w:szCs w:val="24"/>
        </w:rPr>
      </w:pPr>
    </w:p>
    <w:p w:rsidR="00851B59" w:rsidRPr="001949C1" w:rsidRDefault="00851B59" w:rsidP="00B6152F">
      <w:pPr>
        <w:spacing w:after="120"/>
        <w:jc w:val="center"/>
        <w:rPr>
          <w:szCs w:val="24"/>
        </w:rPr>
      </w:pPr>
      <w:r w:rsidRPr="001949C1">
        <w:rPr>
          <w:szCs w:val="24"/>
        </w:rPr>
        <w:t xml:space="preserve">Art. </w:t>
      </w:r>
      <w:r w:rsidR="005C0ADB" w:rsidRPr="001949C1">
        <w:rPr>
          <w:szCs w:val="24"/>
        </w:rPr>
        <w:t>1</w:t>
      </w:r>
      <w:r w:rsidR="006A5A52" w:rsidRPr="001949C1">
        <w:rPr>
          <w:szCs w:val="24"/>
        </w:rPr>
        <w:t>3</w:t>
      </w:r>
    </w:p>
    <w:p w:rsidR="00851B59" w:rsidRDefault="00851B59" w:rsidP="00A747B4">
      <w:pPr>
        <w:pStyle w:val="Paragrafoelenco"/>
        <w:spacing w:after="120"/>
        <w:ind w:left="0"/>
        <w:jc w:val="center"/>
        <w:rPr>
          <w:sz w:val="24"/>
          <w:szCs w:val="24"/>
        </w:rPr>
      </w:pPr>
      <w:r>
        <w:rPr>
          <w:sz w:val="24"/>
          <w:szCs w:val="24"/>
        </w:rPr>
        <w:t>(</w:t>
      </w:r>
      <w:r w:rsidR="006A5A52">
        <w:rPr>
          <w:sz w:val="24"/>
          <w:szCs w:val="24"/>
        </w:rPr>
        <w:t>E</w:t>
      </w:r>
      <w:r w:rsidRPr="00A747B4">
        <w:rPr>
          <w:i/>
          <w:sz w:val="24"/>
          <w:szCs w:val="24"/>
        </w:rPr>
        <w:t>ntrata in vigore</w:t>
      </w:r>
      <w:r>
        <w:rPr>
          <w:sz w:val="24"/>
          <w:szCs w:val="24"/>
        </w:rPr>
        <w:t>)</w:t>
      </w:r>
    </w:p>
    <w:p w:rsidR="00851B59" w:rsidRDefault="00851B59" w:rsidP="00A747B4">
      <w:pPr>
        <w:pStyle w:val="NormaleWeb"/>
        <w:numPr>
          <w:ilvl w:val="0"/>
          <w:numId w:val="8"/>
        </w:numPr>
        <w:tabs>
          <w:tab w:val="left" w:pos="284"/>
        </w:tabs>
        <w:spacing w:before="0" w:beforeAutospacing="0" w:after="120" w:afterAutospacing="0"/>
        <w:ind w:left="284" w:hanging="284"/>
        <w:jc w:val="both"/>
      </w:pPr>
      <w:r>
        <w:t>Il presente decreto</w:t>
      </w:r>
      <w:r w:rsidR="0038563E">
        <w:t xml:space="preserve"> </w:t>
      </w:r>
      <w:r>
        <w:t xml:space="preserve">si applica a decorrere dal 1° gennaio 2014, </w:t>
      </w:r>
      <w:r w:rsidR="006A5A52" w:rsidRPr="001949C1">
        <w:t>salvo quanto disposto dall’articolo 9 che trova applicazione a decorrere</w:t>
      </w:r>
      <w:r w:rsidRPr="001949C1">
        <w:t xml:space="preserve"> </w:t>
      </w:r>
      <w:r>
        <w:t>dal 1° gennaio 2015.</w:t>
      </w:r>
    </w:p>
    <w:p w:rsidR="005C1900" w:rsidRDefault="005C1900" w:rsidP="00A747B4">
      <w:pPr>
        <w:spacing w:after="120"/>
        <w:jc w:val="center"/>
        <w:rPr>
          <w:b/>
        </w:rPr>
      </w:pPr>
    </w:p>
    <w:p w:rsidR="005C0ADB" w:rsidRPr="001949C1" w:rsidRDefault="001949C1" w:rsidP="00A747B4">
      <w:pPr>
        <w:spacing w:after="120"/>
        <w:jc w:val="center"/>
      </w:pPr>
      <w:r>
        <w:t>Articolo</w:t>
      </w:r>
      <w:r w:rsidR="0038563E" w:rsidRPr="001949C1">
        <w:t xml:space="preserve"> </w:t>
      </w:r>
      <w:r w:rsidR="005C0ADB" w:rsidRPr="001949C1">
        <w:t>1</w:t>
      </w:r>
      <w:r w:rsidR="006A5A52" w:rsidRPr="001949C1">
        <w:t>4</w:t>
      </w:r>
    </w:p>
    <w:p w:rsidR="005C0ADB" w:rsidRDefault="005C0ADB" w:rsidP="00A747B4">
      <w:pPr>
        <w:spacing w:after="120"/>
        <w:jc w:val="center"/>
        <w:rPr>
          <w:i/>
        </w:rPr>
      </w:pPr>
      <w:r w:rsidRPr="00ED2563">
        <w:rPr>
          <w:i/>
        </w:rPr>
        <w:t>(</w:t>
      </w:r>
      <w:r w:rsidR="006A5A52">
        <w:rPr>
          <w:i/>
        </w:rPr>
        <w:t>C</w:t>
      </w:r>
      <w:r w:rsidRPr="00ED2563">
        <w:rPr>
          <w:i/>
        </w:rPr>
        <w:t>lausola di invarianza finanziaria)</w:t>
      </w:r>
    </w:p>
    <w:p w:rsidR="005C0ADB" w:rsidRDefault="005C0ADB" w:rsidP="00A747B4">
      <w:pPr>
        <w:numPr>
          <w:ilvl w:val="0"/>
          <w:numId w:val="14"/>
        </w:numPr>
        <w:tabs>
          <w:tab w:val="left" w:pos="284"/>
        </w:tabs>
        <w:spacing w:after="120"/>
        <w:ind w:left="284" w:hanging="284"/>
      </w:pPr>
      <w:r w:rsidRPr="00ED2563">
        <w:t>Senza pregiudizio delle determinazioni da assumere ai sensi del regolamento (CE) n. 2568/1991, dall’attuazione delle disposizioni contenute nel presente decreto non devono derivare nuovi o maggiori oneri a carico della finanza pubblica.</w:t>
      </w:r>
    </w:p>
    <w:p w:rsidR="00A32F67" w:rsidRPr="001949C1" w:rsidRDefault="00BD3EA3" w:rsidP="00BD3EA3">
      <w:pPr>
        <w:numPr>
          <w:ilvl w:val="0"/>
          <w:numId w:val="14"/>
        </w:numPr>
        <w:tabs>
          <w:tab w:val="left" w:pos="284"/>
        </w:tabs>
        <w:spacing w:after="120"/>
        <w:ind w:left="284" w:hanging="284"/>
      </w:pPr>
      <w:r w:rsidRPr="001949C1">
        <w:t>Le Amministrazioni competenti provvedono agli adempimenti di cui al presente decreto con le risorse umane, finanziarie e strumentali, disponibili a legislazione vigente.</w:t>
      </w:r>
    </w:p>
    <w:p w:rsidR="00BD3EA3" w:rsidRDefault="00BD3EA3" w:rsidP="00A747B4">
      <w:pPr>
        <w:pStyle w:val="NormaleWeb"/>
        <w:spacing w:before="0" w:beforeAutospacing="0" w:after="120" w:afterAutospacing="0"/>
        <w:jc w:val="both"/>
      </w:pPr>
    </w:p>
    <w:p w:rsidR="00851B59" w:rsidRDefault="00851B59" w:rsidP="00A747B4">
      <w:pPr>
        <w:pStyle w:val="NormaleWeb"/>
        <w:spacing w:before="0" w:beforeAutospacing="0" w:after="120" w:afterAutospacing="0"/>
        <w:jc w:val="both"/>
      </w:pPr>
      <w:r>
        <w:t>Il presente decreto sarà inviato alla Corte dei conti per la registrazione ed entrerà in vigore il giorno successivo a quello della pubblicazione nella Gazzetta Ufficiale della Repubblica italiana.</w:t>
      </w:r>
    </w:p>
    <w:p w:rsidR="00751A6E" w:rsidRDefault="00751A6E" w:rsidP="00A747B4">
      <w:pPr>
        <w:spacing w:after="120"/>
        <w:jc w:val="center"/>
      </w:pPr>
    </w:p>
    <w:p w:rsidR="00851B59" w:rsidRDefault="00851B59" w:rsidP="00A747B4">
      <w:pPr>
        <w:pStyle w:val="NormaleWeb"/>
        <w:spacing w:before="0" w:beforeAutospacing="0" w:after="120" w:afterAutospacing="0"/>
        <w:jc w:val="both"/>
      </w:pPr>
    </w:p>
    <w:p w:rsidR="00A747B4" w:rsidRDefault="00A747B4" w:rsidP="00A747B4">
      <w:pPr>
        <w:pStyle w:val="NormaleWeb"/>
        <w:spacing w:before="0" w:beforeAutospacing="0" w:after="120" w:afterAutospacing="0"/>
        <w:jc w:val="both"/>
      </w:pPr>
    </w:p>
    <w:p w:rsidR="00851B59" w:rsidRDefault="00851B59" w:rsidP="00A747B4">
      <w:pPr>
        <w:spacing w:after="120"/>
        <w:ind w:left="6237"/>
        <w:rPr>
          <w:szCs w:val="24"/>
        </w:rPr>
      </w:pPr>
      <w:r>
        <w:rPr>
          <w:szCs w:val="24"/>
        </w:rPr>
        <w:t>IL MINISTRO</w:t>
      </w:r>
    </w:p>
    <w:p w:rsidR="00851B59" w:rsidRDefault="00851B59" w:rsidP="00A747B4">
      <w:pPr>
        <w:spacing w:after="120"/>
        <w:rPr>
          <w:szCs w:val="24"/>
        </w:rPr>
      </w:pPr>
    </w:p>
    <w:p w:rsidR="00851B59" w:rsidRPr="00F67894" w:rsidRDefault="00851B59" w:rsidP="00A747B4">
      <w:pPr>
        <w:spacing w:after="120"/>
        <w:rPr>
          <w:szCs w:val="24"/>
        </w:rPr>
      </w:pPr>
      <w:bookmarkStart w:id="0" w:name="_GoBack"/>
      <w:bookmarkEnd w:id="0"/>
      <w:r>
        <w:rPr>
          <w:szCs w:val="24"/>
        </w:rPr>
        <w:t>Roma, li</w:t>
      </w:r>
    </w:p>
    <w:sectPr w:rsidR="00851B59" w:rsidRPr="00F67894" w:rsidSect="004F4D08">
      <w:footerReference w:type="default" r:id="rId12"/>
      <w:pgSz w:w="11906" w:h="16838" w:code="9"/>
      <w:pgMar w:top="709" w:right="1134" w:bottom="1134" w:left="1134" w:header="1135" w:footer="4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5B" w:rsidRDefault="008C695B">
      <w:r>
        <w:separator/>
      </w:r>
    </w:p>
  </w:endnote>
  <w:endnote w:type="continuationSeparator" w:id="0">
    <w:p w:rsidR="008C695B" w:rsidRDefault="008C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1992"/>
      <w:docPartObj>
        <w:docPartGallery w:val="Page Numbers (Bottom of Page)"/>
        <w:docPartUnique/>
      </w:docPartObj>
    </w:sdtPr>
    <w:sdtEndPr/>
    <w:sdtContent>
      <w:p w:rsidR="00ED3D67" w:rsidRDefault="005B4330">
        <w:pPr>
          <w:pStyle w:val="Pidipagina"/>
          <w:jc w:val="center"/>
        </w:pPr>
        <w:r>
          <w:fldChar w:fldCharType="begin"/>
        </w:r>
        <w:r w:rsidR="00513714">
          <w:instrText xml:space="preserve"> PAGE   \* MERGEFORMAT </w:instrText>
        </w:r>
        <w:r>
          <w:fldChar w:fldCharType="separate"/>
        </w:r>
        <w:r w:rsidR="004F4D08">
          <w:rPr>
            <w:noProof/>
          </w:rPr>
          <w:t>6</w:t>
        </w:r>
        <w:r>
          <w:rPr>
            <w:noProof/>
          </w:rPr>
          <w:fldChar w:fldCharType="end"/>
        </w:r>
      </w:p>
    </w:sdtContent>
  </w:sdt>
  <w:p w:rsidR="00BD766D" w:rsidRPr="00A747B4" w:rsidRDefault="00BD766D" w:rsidP="00124250">
    <w:pPr>
      <w:pStyle w:val="Pidipagina"/>
      <w:rPr>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5B" w:rsidRDefault="008C695B">
      <w:r>
        <w:separator/>
      </w:r>
    </w:p>
  </w:footnote>
  <w:footnote w:type="continuationSeparator" w:id="0">
    <w:p w:rsidR="008C695B" w:rsidRDefault="008C6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lvl>
    <w:lvl w:ilvl="1">
      <w:start w:val="1"/>
      <w:numFmt w:val="decimal"/>
      <w:pStyle w:val="Titolo2"/>
      <w:lvlText w:val=".%2"/>
      <w:legacy w:legacy="1" w:legacySpace="120" w:legacyIndent="567"/>
      <w:lvlJc w:val="left"/>
      <w:pPr>
        <w:ind w:left="1134" w:hanging="567"/>
      </w:pPr>
    </w:lvl>
    <w:lvl w:ilvl="2">
      <w:start w:val="1"/>
      <w:numFmt w:val="decimal"/>
      <w:pStyle w:val="Titolo3"/>
      <w:lvlText w:val=".%2.%3"/>
      <w:legacy w:legacy="1" w:legacySpace="120" w:legacyIndent="36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F62089"/>
    <w:multiLevelType w:val="hybridMultilevel"/>
    <w:tmpl w:val="085ACC62"/>
    <w:lvl w:ilvl="0" w:tplc="04962A1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BB20D1"/>
    <w:multiLevelType w:val="hybridMultilevel"/>
    <w:tmpl w:val="31F84470"/>
    <w:lvl w:ilvl="0" w:tplc="071AB0B8">
      <w:start w:val="1"/>
      <w:numFmt w:val="bullet"/>
      <w:lvlText w:val="-"/>
      <w:lvlJc w:val="left"/>
      <w:pPr>
        <w:ind w:left="621" w:hanging="360"/>
      </w:pPr>
      <w:rPr>
        <w:rFonts w:ascii="Times New Roman" w:eastAsia="Times New Roman" w:hAnsi="Times New Roman" w:cs="Times New Roman" w:hint="default"/>
      </w:rPr>
    </w:lvl>
    <w:lvl w:ilvl="1" w:tplc="04100019" w:tentative="1">
      <w:start w:val="1"/>
      <w:numFmt w:val="lowerLetter"/>
      <w:lvlText w:val="%2."/>
      <w:lvlJc w:val="left"/>
      <w:pPr>
        <w:ind w:left="1341" w:hanging="360"/>
      </w:pPr>
    </w:lvl>
    <w:lvl w:ilvl="2" w:tplc="0410001B" w:tentative="1">
      <w:start w:val="1"/>
      <w:numFmt w:val="lowerRoman"/>
      <w:lvlText w:val="%3."/>
      <w:lvlJc w:val="right"/>
      <w:pPr>
        <w:ind w:left="2061" w:hanging="180"/>
      </w:pPr>
    </w:lvl>
    <w:lvl w:ilvl="3" w:tplc="0410000F" w:tentative="1">
      <w:start w:val="1"/>
      <w:numFmt w:val="decimal"/>
      <w:lvlText w:val="%4."/>
      <w:lvlJc w:val="left"/>
      <w:pPr>
        <w:ind w:left="2781" w:hanging="360"/>
      </w:pPr>
    </w:lvl>
    <w:lvl w:ilvl="4" w:tplc="04100019" w:tentative="1">
      <w:start w:val="1"/>
      <w:numFmt w:val="lowerLetter"/>
      <w:lvlText w:val="%5."/>
      <w:lvlJc w:val="left"/>
      <w:pPr>
        <w:ind w:left="3501" w:hanging="360"/>
      </w:pPr>
    </w:lvl>
    <w:lvl w:ilvl="5" w:tplc="0410001B" w:tentative="1">
      <w:start w:val="1"/>
      <w:numFmt w:val="lowerRoman"/>
      <w:lvlText w:val="%6."/>
      <w:lvlJc w:val="right"/>
      <w:pPr>
        <w:ind w:left="4221" w:hanging="180"/>
      </w:pPr>
    </w:lvl>
    <w:lvl w:ilvl="6" w:tplc="0410000F" w:tentative="1">
      <w:start w:val="1"/>
      <w:numFmt w:val="decimal"/>
      <w:lvlText w:val="%7."/>
      <w:lvlJc w:val="left"/>
      <w:pPr>
        <w:ind w:left="4941" w:hanging="360"/>
      </w:pPr>
    </w:lvl>
    <w:lvl w:ilvl="7" w:tplc="04100019" w:tentative="1">
      <w:start w:val="1"/>
      <w:numFmt w:val="lowerLetter"/>
      <w:lvlText w:val="%8."/>
      <w:lvlJc w:val="left"/>
      <w:pPr>
        <w:ind w:left="5661" w:hanging="360"/>
      </w:pPr>
    </w:lvl>
    <w:lvl w:ilvl="8" w:tplc="0410001B" w:tentative="1">
      <w:start w:val="1"/>
      <w:numFmt w:val="lowerRoman"/>
      <w:lvlText w:val="%9."/>
      <w:lvlJc w:val="right"/>
      <w:pPr>
        <w:ind w:left="6381" w:hanging="180"/>
      </w:pPr>
    </w:lvl>
  </w:abstractNum>
  <w:abstractNum w:abstractNumId="3">
    <w:nsid w:val="10096CBD"/>
    <w:multiLevelType w:val="hybridMultilevel"/>
    <w:tmpl w:val="C7081E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D41B7F"/>
    <w:multiLevelType w:val="hybridMultilevel"/>
    <w:tmpl w:val="064036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6556963"/>
    <w:multiLevelType w:val="hybridMultilevel"/>
    <w:tmpl w:val="B27A9DD8"/>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9C25CCE"/>
    <w:multiLevelType w:val="hybridMultilevel"/>
    <w:tmpl w:val="54F239C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1CDC6246"/>
    <w:multiLevelType w:val="hybridMultilevel"/>
    <w:tmpl w:val="EA44CFB6"/>
    <w:lvl w:ilvl="0" w:tplc="8BCA4A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7A0DEF"/>
    <w:multiLevelType w:val="hybridMultilevel"/>
    <w:tmpl w:val="516647B0"/>
    <w:lvl w:ilvl="0" w:tplc="0410000F">
      <w:start w:val="1"/>
      <w:numFmt w:val="decimal"/>
      <w:lvlText w:val="%1."/>
      <w:lvlJc w:val="left"/>
      <w:pPr>
        <w:ind w:left="360" w:hanging="360"/>
      </w:pPr>
      <w:rPr>
        <w:rFonts w:hint="default"/>
      </w:r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7B57AE9"/>
    <w:multiLevelType w:val="hybridMultilevel"/>
    <w:tmpl w:val="0A9089E2"/>
    <w:lvl w:ilvl="0" w:tplc="D6E227B4">
      <w:start w:val="1"/>
      <w:numFmt w:val="bullet"/>
      <w:lvlText w:val="-"/>
      <w:lvlJc w:val="left"/>
      <w:pPr>
        <w:ind w:left="360" w:hanging="360"/>
      </w:pPr>
      <w:rPr>
        <w:rFonts w:ascii="Times New Roman" w:eastAsia="Lucida Sans Unicode"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0923F4"/>
    <w:multiLevelType w:val="hybridMultilevel"/>
    <w:tmpl w:val="11E2580A"/>
    <w:lvl w:ilvl="0" w:tplc="0058A312">
      <w:start w:val="1"/>
      <w:numFmt w:val="decimal"/>
      <w:lvlText w:val="%1."/>
      <w:lvlJc w:val="left"/>
      <w:pPr>
        <w:ind w:left="360" w:hanging="360"/>
      </w:pPr>
      <w:rPr>
        <w:rFonts w:hint="default"/>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6C7F31"/>
    <w:multiLevelType w:val="hybridMultilevel"/>
    <w:tmpl w:val="97DE8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8043F6"/>
    <w:multiLevelType w:val="hybridMultilevel"/>
    <w:tmpl w:val="4C14FE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D60448"/>
    <w:multiLevelType w:val="hybridMultilevel"/>
    <w:tmpl w:val="0270CE10"/>
    <w:lvl w:ilvl="0" w:tplc="0410000F">
      <w:start w:val="1"/>
      <w:numFmt w:val="decimal"/>
      <w:lvlText w:val="%1."/>
      <w:lvlJc w:val="left"/>
      <w:pPr>
        <w:ind w:left="34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2511529"/>
    <w:multiLevelType w:val="hybridMultilevel"/>
    <w:tmpl w:val="147E6CB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nsid w:val="3BF4500F"/>
    <w:multiLevelType w:val="hybridMultilevel"/>
    <w:tmpl w:val="B9823838"/>
    <w:lvl w:ilvl="0" w:tplc="04962A1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79244B"/>
    <w:multiLevelType w:val="hybridMultilevel"/>
    <w:tmpl w:val="F07C514E"/>
    <w:lvl w:ilvl="0" w:tplc="C630A98A">
      <w:start w:val="1"/>
      <w:numFmt w:val="bullet"/>
      <w:lvlText w:val=""/>
      <w:lvlJc w:val="left"/>
      <w:pPr>
        <w:ind w:left="3479"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0719DA"/>
    <w:multiLevelType w:val="hybridMultilevel"/>
    <w:tmpl w:val="ACFCDE56"/>
    <w:lvl w:ilvl="0" w:tplc="661C96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40A53A75"/>
    <w:multiLevelType w:val="hybridMultilevel"/>
    <w:tmpl w:val="0C14D2CA"/>
    <w:lvl w:ilvl="0" w:tplc="019635B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0ED73BE"/>
    <w:multiLevelType w:val="hybridMultilevel"/>
    <w:tmpl w:val="47CA8AB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2602028"/>
    <w:multiLevelType w:val="hybridMultilevel"/>
    <w:tmpl w:val="99001B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8F1A20"/>
    <w:multiLevelType w:val="hybridMultilevel"/>
    <w:tmpl w:val="F5B00B48"/>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44290C9C"/>
    <w:multiLevelType w:val="hybridMultilevel"/>
    <w:tmpl w:val="CB4E12E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7E4504"/>
    <w:multiLevelType w:val="hybridMultilevel"/>
    <w:tmpl w:val="2C646EC4"/>
    <w:lvl w:ilvl="0" w:tplc="748EE75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nsid w:val="4DD07C77"/>
    <w:multiLevelType w:val="hybridMultilevel"/>
    <w:tmpl w:val="B0D44F4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52F42A16"/>
    <w:multiLevelType w:val="hybridMultilevel"/>
    <w:tmpl w:val="3E2A59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3E7417"/>
    <w:multiLevelType w:val="hybridMultilevel"/>
    <w:tmpl w:val="FBB05B52"/>
    <w:lvl w:ilvl="0" w:tplc="59AEDF1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5F602D33"/>
    <w:multiLevelType w:val="hybridMultilevel"/>
    <w:tmpl w:val="9F24A6A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8640F6"/>
    <w:multiLevelType w:val="hybridMultilevel"/>
    <w:tmpl w:val="AFCEDF26"/>
    <w:lvl w:ilvl="0" w:tplc="DEAACD60">
      <w:start w:val="11"/>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6BED2374"/>
    <w:multiLevelType w:val="hybridMultilevel"/>
    <w:tmpl w:val="50D44DC4"/>
    <w:lvl w:ilvl="0" w:tplc="9A844B5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FCB1FA6"/>
    <w:multiLevelType w:val="hybridMultilevel"/>
    <w:tmpl w:val="97DE8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FF72916"/>
    <w:multiLevelType w:val="hybridMultilevel"/>
    <w:tmpl w:val="5CB89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EF269C"/>
    <w:multiLevelType w:val="hybridMultilevel"/>
    <w:tmpl w:val="9DFA1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985F61"/>
    <w:multiLevelType w:val="hybridMultilevel"/>
    <w:tmpl w:val="C554CC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A2F24D0"/>
    <w:multiLevelType w:val="hybridMultilevel"/>
    <w:tmpl w:val="DB1AF328"/>
    <w:lvl w:ilvl="0" w:tplc="2EEEC9DE">
      <w:start w:val="1"/>
      <w:numFmt w:val="lowerLetter"/>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35">
    <w:nsid w:val="7A3810A3"/>
    <w:multiLevelType w:val="hybridMultilevel"/>
    <w:tmpl w:val="BCB85FBA"/>
    <w:lvl w:ilvl="0" w:tplc="24D2E694">
      <w:start w:val="2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3"/>
  </w:num>
  <w:num w:numId="4">
    <w:abstractNumId w:val="17"/>
  </w:num>
  <w:num w:numId="5">
    <w:abstractNumId w:val="18"/>
  </w:num>
  <w:num w:numId="6">
    <w:abstractNumId w:val="26"/>
  </w:num>
  <w:num w:numId="7">
    <w:abstractNumId w:val="30"/>
  </w:num>
  <w:num w:numId="8">
    <w:abstractNumId w:val="11"/>
  </w:num>
  <w:num w:numId="9">
    <w:abstractNumId w:val="4"/>
  </w:num>
  <w:num w:numId="10">
    <w:abstractNumId w:val="27"/>
  </w:num>
  <w:num w:numId="11">
    <w:abstractNumId w:val="7"/>
  </w:num>
  <w:num w:numId="12">
    <w:abstractNumId w:val="1"/>
  </w:num>
  <w:num w:numId="13">
    <w:abstractNumId w:val="34"/>
  </w:num>
  <w:num w:numId="14">
    <w:abstractNumId w:val="32"/>
  </w:num>
  <w:num w:numId="15">
    <w:abstractNumId w:val="15"/>
  </w:num>
  <w:num w:numId="16">
    <w:abstractNumId w:val="13"/>
  </w:num>
  <w:num w:numId="17">
    <w:abstractNumId w:val="10"/>
  </w:num>
  <w:num w:numId="18">
    <w:abstractNumId w:val="19"/>
  </w:num>
  <w:num w:numId="19">
    <w:abstractNumId w:val="21"/>
  </w:num>
  <w:num w:numId="20">
    <w:abstractNumId w:val="5"/>
  </w:num>
  <w:num w:numId="21">
    <w:abstractNumId w:val="16"/>
  </w:num>
  <w:num w:numId="22">
    <w:abstractNumId w:val="3"/>
  </w:num>
  <w:num w:numId="23">
    <w:abstractNumId w:val="6"/>
  </w:num>
  <w:num w:numId="24">
    <w:abstractNumId w:val="28"/>
  </w:num>
  <w:num w:numId="25">
    <w:abstractNumId w:val="2"/>
  </w:num>
  <w:num w:numId="26">
    <w:abstractNumId w:val="9"/>
  </w:num>
  <w:num w:numId="27">
    <w:abstractNumId w:val="12"/>
  </w:num>
  <w:num w:numId="28">
    <w:abstractNumId w:val="22"/>
  </w:num>
  <w:num w:numId="29">
    <w:abstractNumId w:val="29"/>
  </w:num>
  <w:num w:numId="30">
    <w:abstractNumId w:val="25"/>
  </w:num>
  <w:num w:numId="31">
    <w:abstractNumId w:val="33"/>
  </w:num>
  <w:num w:numId="32">
    <w:abstractNumId w:val="20"/>
  </w:num>
  <w:num w:numId="33">
    <w:abstractNumId w:val="24"/>
  </w:num>
  <w:num w:numId="34">
    <w:abstractNumId w:val="35"/>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75"/>
    <w:rsid w:val="0000167B"/>
    <w:rsid w:val="00007E06"/>
    <w:rsid w:val="000214F4"/>
    <w:rsid w:val="00023A8C"/>
    <w:rsid w:val="00031557"/>
    <w:rsid w:val="00042F48"/>
    <w:rsid w:val="00043E09"/>
    <w:rsid w:val="0004737E"/>
    <w:rsid w:val="00054CD0"/>
    <w:rsid w:val="00060650"/>
    <w:rsid w:val="0008703B"/>
    <w:rsid w:val="00091119"/>
    <w:rsid w:val="00094C18"/>
    <w:rsid w:val="000B4022"/>
    <w:rsid w:val="000B6CCB"/>
    <w:rsid w:val="000B76B4"/>
    <w:rsid w:val="000C2313"/>
    <w:rsid w:val="000C3542"/>
    <w:rsid w:val="000C7662"/>
    <w:rsid w:val="000D1A19"/>
    <w:rsid w:val="000E66A8"/>
    <w:rsid w:val="00110CFB"/>
    <w:rsid w:val="001227A6"/>
    <w:rsid w:val="00124250"/>
    <w:rsid w:val="00131959"/>
    <w:rsid w:val="00135847"/>
    <w:rsid w:val="001602B5"/>
    <w:rsid w:val="001638AD"/>
    <w:rsid w:val="001638B2"/>
    <w:rsid w:val="001760AA"/>
    <w:rsid w:val="001833D3"/>
    <w:rsid w:val="0018454B"/>
    <w:rsid w:val="00192689"/>
    <w:rsid w:val="001949C1"/>
    <w:rsid w:val="00195692"/>
    <w:rsid w:val="001A54EF"/>
    <w:rsid w:val="001B7511"/>
    <w:rsid w:val="001C63C6"/>
    <w:rsid w:val="001D160A"/>
    <w:rsid w:val="001D346C"/>
    <w:rsid w:val="001D6820"/>
    <w:rsid w:val="001E023C"/>
    <w:rsid w:val="001E57CA"/>
    <w:rsid w:val="002006CA"/>
    <w:rsid w:val="00207682"/>
    <w:rsid w:val="00207FFC"/>
    <w:rsid w:val="00210B1E"/>
    <w:rsid w:val="00216FA0"/>
    <w:rsid w:val="00240730"/>
    <w:rsid w:val="00257FB4"/>
    <w:rsid w:val="00262F58"/>
    <w:rsid w:val="00290A6C"/>
    <w:rsid w:val="002913E2"/>
    <w:rsid w:val="00292CA6"/>
    <w:rsid w:val="0029413C"/>
    <w:rsid w:val="002974E4"/>
    <w:rsid w:val="002B4226"/>
    <w:rsid w:val="002B4E31"/>
    <w:rsid w:val="002B6AC2"/>
    <w:rsid w:val="002C1F2A"/>
    <w:rsid w:val="002C21DC"/>
    <w:rsid w:val="002C6E61"/>
    <w:rsid w:val="002D72BB"/>
    <w:rsid w:val="002D7A14"/>
    <w:rsid w:val="002F4465"/>
    <w:rsid w:val="002F5DFA"/>
    <w:rsid w:val="002F7649"/>
    <w:rsid w:val="0030214E"/>
    <w:rsid w:val="00304272"/>
    <w:rsid w:val="0031063B"/>
    <w:rsid w:val="00312B0C"/>
    <w:rsid w:val="00340C7E"/>
    <w:rsid w:val="00343F36"/>
    <w:rsid w:val="003622DF"/>
    <w:rsid w:val="00366A17"/>
    <w:rsid w:val="0038059A"/>
    <w:rsid w:val="0038563E"/>
    <w:rsid w:val="003A0DCD"/>
    <w:rsid w:val="003A2200"/>
    <w:rsid w:val="003B2DF0"/>
    <w:rsid w:val="003B3F9E"/>
    <w:rsid w:val="003C5C32"/>
    <w:rsid w:val="003C6F12"/>
    <w:rsid w:val="003D4FBD"/>
    <w:rsid w:val="003E5A6E"/>
    <w:rsid w:val="004011CC"/>
    <w:rsid w:val="00411426"/>
    <w:rsid w:val="004161E7"/>
    <w:rsid w:val="00420B5E"/>
    <w:rsid w:val="004252B4"/>
    <w:rsid w:val="00427DD9"/>
    <w:rsid w:val="00440818"/>
    <w:rsid w:val="004433D3"/>
    <w:rsid w:val="004441A4"/>
    <w:rsid w:val="00444E08"/>
    <w:rsid w:val="00464245"/>
    <w:rsid w:val="00474723"/>
    <w:rsid w:val="00481E3A"/>
    <w:rsid w:val="00493468"/>
    <w:rsid w:val="00495B62"/>
    <w:rsid w:val="004B41F7"/>
    <w:rsid w:val="004B6D9D"/>
    <w:rsid w:val="004C6BBC"/>
    <w:rsid w:val="004D3A7D"/>
    <w:rsid w:val="004E1B55"/>
    <w:rsid w:val="004E5B41"/>
    <w:rsid w:val="004F4D08"/>
    <w:rsid w:val="004F5002"/>
    <w:rsid w:val="00500BD6"/>
    <w:rsid w:val="00501A01"/>
    <w:rsid w:val="00505712"/>
    <w:rsid w:val="00510589"/>
    <w:rsid w:val="00513714"/>
    <w:rsid w:val="005245F2"/>
    <w:rsid w:val="00536CC6"/>
    <w:rsid w:val="005451EE"/>
    <w:rsid w:val="0055016D"/>
    <w:rsid w:val="00550AD0"/>
    <w:rsid w:val="005612B2"/>
    <w:rsid w:val="00572311"/>
    <w:rsid w:val="00572D82"/>
    <w:rsid w:val="005801C3"/>
    <w:rsid w:val="00580CF9"/>
    <w:rsid w:val="00587CDF"/>
    <w:rsid w:val="00592039"/>
    <w:rsid w:val="00593652"/>
    <w:rsid w:val="005A2ABE"/>
    <w:rsid w:val="005A4072"/>
    <w:rsid w:val="005B17E9"/>
    <w:rsid w:val="005B1EC4"/>
    <w:rsid w:val="005B4330"/>
    <w:rsid w:val="005B5B9A"/>
    <w:rsid w:val="005B63B0"/>
    <w:rsid w:val="005C0ADB"/>
    <w:rsid w:val="005C0D3A"/>
    <w:rsid w:val="005C1900"/>
    <w:rsid w:val="005D766B"/>
    <w:rsid w:val="005E288C"/>
    <w:rsid w:val="005F1E93"/>
    <w:rsid w:val="005F42B0"/>
    <w:rsid w:val="00607EDD"/>
    <w:rsid w:val="006126DB"/>
    <w:rsid w:val="00625D92"/>
    <w:rsid w:val="00627E1A"/>
    <w:rsid w:val="00630F57"/>
    <w:rsid w:val="006351F3"/>
    <w:rsid w:val="0063669C"/>
    <w:rsid w:val="00636B72"/>
    <w:rsid w:val="006550D6"/>
    <w:rsid w:val="00661E22"/>
    <w:rsid w:val="00675346"/>
    <w:rsid w:val="00686C56"/>
    <w:rsid w:val="00694D73"/>
    <w:rsid w:val="00696860"/>
    <w:rsid w:val="006A0F2D"/>
    <w:rsid w:val="006A5A52"/>
    <w:rsid w:val="006B3E3A"/>
    <w:rsid w:val="006C2239"/>
    <w:rsid w:val="006C5068"/>
    <w:rsid w:val="006D0108"/>
    <w:rsid w:val="006D30D0"/>
    <w:rsid w:val="006D40B1"/>
    <w:rsid w:val="006E375C"/>
    <w:rsid w:val="006E383E"/>
    <w:rsid w:val="006E7AC2"/>
    <w:rsid w:val="006F42BD"/>
    <w:rsid w:val="007160CB"/>
    <w:rsid w:val="00732D81"/>
    <w:rsid w:val="007442C7"/>
    <w:rsid w:val="00744C49"/>
    <w:rsid w:val="00750F92"/>
    <w:rsid w:val="00751A6E"/>
    <w:rsid w:val="00760420"/>
    <w:rsid w:val="007622AA"/>
    <w:rsid w:val="00762384"/>
    <w:rsid w:val="0076303B"/>
    <w:rsid w:val="00767BFD"/>
    <w:rsid w:val="00776904"/>
    <w:rsid w:val="007830E0"/>
    <w:rsid w:val="007973AF"/>
    <w:rsid w:val="007A3B80"/>
    <w:rsid w:val="007A4831"/>
    <w:rsid w:val="007C1C7D"/>
    <w:rsid w:val="007E226B"/>
    <w:rsid w:val="007E286B"/>
    <w:rsid w:val="007F2A9B"/>
    <w:rsid w:val="00801294"/>
    <w:rsid w:val="008067AD"/>
    <w:rsid w:val="00810221"/>
    <w:rsid w:val="008118C4"/>
    <w:rsid w:val="00812B32"/>
    <w:rsid w:val="00833ABA"/>
    <w:rsid w:val="00851B59"/>
    <w:rsid w:val="00865AFC"/>
    <w:rsid w:val="00871497"/>
    <w:rsid w:val="00877C26"/>
    <w:rsid w:val="008867D9"/>
    <w:rsid w:val="008906E1"/>
    <w:rsid w:val="008A234F"/>
    <w:rsid w:val="008A756D"/>
    <w:rsid w:val="008B0058"/>
    <w:rsid w:val="008B3BEE"/>
    <w:rsid w:val="008C1CC8"/>
    <w:rsid w:val="008C695B"/>
    <w:rsid w:val="008D2CC5"/>
    <w:rsid w:val="008E4188"/>
    <w:rsid w:val="008F2051"/>
    <w:rsid w:val="008F2148"/>
    <w:rsid w:val="008F3AFA"/>
    <w:rsid w:val="00900CA1"/>
    <w:rsid w:val="00904159"/>
    <w:rsid w:val="0091291A"/>
    <w:rsid w:val="00916276"/>
    <w:rsid w:val="00922CAA"/>
    <w:rsid w:val="009322B0"/>
    <w:rsid w:val="00936F65"/>
    <w:rsid w:val="00940A76"/>
    <w:rsid w:val="0095164A"/>
    <w:rsid w:val="0095386A"/>
    <w:rsid w:val="0096511D"/>
    <w:rsid w:val="009746E1"/>
    <w:rsid w:val="00986527"/>
    <w:rsid w:val="00990DBF"/>
    <w:rsid w:val="009942BC"/>
    <w:rsid w:val="009B2698"/>
    <w:rsid w:val="009B6C76"/>
    <w:rsid w:val="009B7890"/>
    <w:rsid w:val="009C2FA8"/>
    <w:rsid w:val="009E1113"/>
    <w:rsid w:val="009E34BF"/>
    <w:rsid w:val="009E7F83"/>
    <w:rsid w:val="00A11C75"/>
    <w:rsid w:val="00A162C8"/>
    <w:rsid w:val="00A32F67"/>
    <w:rsid w:val="00A747B4"/>
    <w:rsid w:val="00A77C1C"/>
    <w:rsid w:val="00A86EEF"/>
    <w:rsid w:val="00AA6AAB"/>
    <w:rsid w:val="00AB5BAA"/>
    <w:rsid w:val="00AE3819"/>
    <w:rsid w:val="00AE4DE3"/>
    <w:rsid w:val="00AE66B0"/>
    <w:rsid w:val="00AF3911"/>
    <w:rsid w:val="00AF5514"/>
    <w:rsid w:val="00B3030B"/>
    <w:rsid w:val="00B30A15"/>
    <w:rsid w:val="00B358C6"/>
    <w:rsid w:val="00B4025D"/>
    <w:rsid w:val="00B5506C"/>
    <w:rsid w:val="00B6152F"/>
    <w:rsid w:val="00B6174A"/>
    <w:rsid w:val="00B711D6"/>
    <w:rsid w:val="00B7120C"/>
    <w:rsid w:val="00B87D96"/>
    <w:rsid w:val="00B90720"/>
    <w:rsid w:val="00B939F8"/>
    <w:rsid w:val="00B93C75"/>
    <w:rsid w:val="00BA628E"/>
    <w:rsid w:val="00BB7895"/>
    <w:rsid w:val="00BC10DD"/>
    <w:rsid w:val="00BC7AB9"/>
    <w:rsid w:val="00BC7B48"/>
    <w:rsid w:val="00BD3EA3"/>
    <w:rsid w:val="00BD766D"/>
    <w:rsid w:val="00BE4012"/>
    <w:rsid w:val="00BF02FD"/>
    <w:rsid w:val="00BF2375"/>
    <w:rsid w:val="00C01390"/>
    <w:rsid w:val="00C03DF4"/>
    <w:rsid w:val="00C1071E"/>
    <w:rsid w:val="00C11278"/>
    <w:rsid w:val="00C305EC"/>
    <w:rsid w:val="00C373BA"/>
    <w:rsid w:val="00C4579D"/>
    <w:rsid w:val="00C457B8"/>
    <w:rsid w:val="00C54672"/>
    <w:rsid w:val="00C8104E"/>
    <w:rsid w:val="00CA1535"/>
    <w:rsid w:val="00CA2CA0"/>
    <w:rsid w:val="00CC0219"/>
    <w:rsid w:val="00CC5C17"/>
    <w:rsid w:val="00CD799B"/>
    <w:rsid w:val="00CF10C5"/>
    <w:rsid w:val="00CF25FC"/>
    <w:rsid w:val="00CF7C3C"/>
    <w:rsid w:val="00D1459E"/>
    <w:rsid w:val="00D2690F"/>
    <w:rsid w:val="00D4073D"/>
    <w:rsid w:val="00D45D26"/>
    <w:rsid w:val="00D45E6D"/>
    <w:rsid w:val="00D4751B"/>
    <w:rsid w:val="00D704ED"/>
    <w:rsid w:val="00D76553"/>
    <w:rsid w:val="00D84118"/>
    <w:rsid w:val="00D867A2"/>
    <w:rsid w:val="00D92C74"/>
    <w:rsid w:val="00DA0A24"/>
    <w:rsid w:val="00DA4D3E"/>
    <w:rsid w:val="00DC7A11"/>
    <w:rsid w:val="00DD4F51"/>
    <w:rsid w:val="00DD5EC1"/>
    <w:rsid w:val="00DE525B"/>
    <w:rsid w:val="00DF2106"/>
    <w:rsid w:val="00E01B7A"/>
    <w:rsid w:val="00E17FDE"/>
    <w:rsid w:val="00E21A9F"/>
    <w:rsid w:val="00E323EE"/>
    <w:rsid w:val="00E32E92"/>
    <w:rsid w:val="00E701E9"/>
    <w:rsid w:val="00E75853"/>
    <w:rsid w:val="00E8799D"/>
    <w:rsid w:val="00E932F1"/>
    <w:rsid w:val="00E959B8"/>
    <w:rsid w:val="00EC50B1"/>
    <w:rsid w:val="00ED2563"/>
    <w:rsid w:val="00ED3D67"/>
    <w:rsid w:val="00EE16F3"/>
    <w:rsid w:val="00F05187"/>
    <w:rsid w:val="00F052F9"/>
    <w:rsid w:val="00F05A4F"/>
    <w:rsid w:val="00F22CD9"/>
    <w:rsid w:val="00F40E7D"/>
    <w:rsid w:val="00F40F48"/>
    <w:rsid w:val="00F67D98"/>
    <w:rsid w:val="00F935A0"/>
    <w:rsid w:val="00FA141C"/>
    <w:rsid w:val="00FB7F4E"/>
    <w:rsid w:val="00FC2471"/>
    <w:rsid w:val="00FF29F3"/>
    <w:rsid w:val="00FF31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C75"/>
    <w:pPr>
      <w:jc w:val="both"/>
    </w:pPr>
    <w:rPr>
      <w:sz w:val="24"/>
    </w:rPr>
  </w:style>
  <w:style w:type="paragraph" w:styleId="Titolo2">
    <w:name w:val="heading 2"/>
    <w:basedOn w:val="Normale"/>
    <w:next w:val="Normale"/>
    <w:qFormat/>
    <w:rsid w:val="00A11C75"/>
    <w:pPr>
      <w:keepNext/>
      <w:numPr>
        <w:ilvl w:val="1"/>
        <w:numId w:val="1"/>
      </w:numPr>
      <w:tabs>
        <w:tab w:val="num" w:pos="1134"/>
      </w:tabs>
      <w:spacing w:before="240" w:after="120"/>
      <w:outlineLvl w:val="1"/>
    </w:pPr>
    <w:rPr>
      <w:b/>
      <w:smallCaps/>
    </w:rPr>
  </w:style>
  <w:style w:type="paragraph" w:styleId="Titolo3">
    <w:name w:val="heading 3"/>
    <w:basedOn w:val="Titolo2"/>
    <w:next w:val="Normale"/>
    <w:qFormat/>
    <w:rsid w:val="00A11C75"/>
    <w:pPr>
      <w:numPr>
        <w:ilvl w:val="2"/>
      </w:numPr>
      <w:tabs>
        <w:tab w:val="num" w:pos="1287"/>
      </w:tabs>
      <w:ind w:left="567" w:firstLine="0"/>
      <w:outlineLvl w:val="2"/>
    </w:pPr>
    <w:rPr>
      <w:smallCaps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3">
    <w:name w:val="testo3"/>
    <w:basedOn w:val="Normale"/>
    <w:rsid w:val="00A11C75"/>
    <w:pPr>
      <w:spacing w:after="120"/>
      <w:ind w:left="1843"/>
    </w:pPr>
    <w:rPr>
      <w:sz w:val="22"/>
    </w:rPr>
  </w:style>
  <w:style w:type="paragraph" w:styleId="Intestazione">
    <w:name w:val="header"/>
    <w:basedOn w:val="Normale"/>
    <w:rsid w:val="00A11C75"/>
    <w:pPr>
      <w:tabs>
        <w:tab w:val="center" w:pos="4819"/>
        <w:tab w:val="right" w:pos="9638"/>
      </w:tabs>
    </w:pPr>
  </w:style>
  <w:style w:type="paragraph" w:styleId="Pidipagina">
    <w:name w:val="footer"/>
    <w:basedOn w:val="Normale"/>
    <w:link w:val="PidipaginaCarattere"/>
    <w:uiPriority w:val="99"/>
    <w:rsid w:val="00A11C75"/>
    <w:pPr>
      <w:tabs>
        <w:tab w:val="center" w:pos="4819"/>
        <w:tab w:val="right" w:pos="9638"/>
      </w:tabs>
    </w:pPr>
  </w:style>
  <w:style w:type="paragraph" w:styleId="Testofumetto">
    <w:name w:val="Balloon Text"/>
    <w:basedOn w:val="Normale"/>
    <w:semiHidden/>
    <w:rsid w:val="00A11C75"/>
    <w:rPr>
      <w:rFonts w:ascii="Tahoma" w:hAnsi="Tahoma" w:cs="Tahoma"/>
      <w:sz w:val="16"/>
      <w:szCs w:val="16"/>
    </w:rPr>
  </w:style>
  <w:style w:type="paragraph" w:styleId="Paragrafoelenco">
    <w:name w:val="List Paragraph"/>
    <w:basedOn w:val="Normale"/>
    <w:uiPriority w:val="34"/>
    <w:qFormat/>
    <w:rsid w:val="00851B59"/>
    <w:pPr>
      <w:ind w:left="708"/>
      <w:jc w:val="left"/>
    </w:pPr>
    <w:rPr>
      <w:sz w:val="20"/>
    </w:rPr>
  </w:style>
  <w:style w:type="paragraph" w:styleId="NormaleWeb">
    <w:name w:val="Normal (Web)"/>
    <w:basedOn w:val="Normale"/>
    <w:rsid w:val="00851B59"/>
    <w:pPr>
      <w:spacing w:before="100" w:beforeAutospacing="1" w:after="100" w:afterAutospacing="1"/>
      <w:jc w:val="left"/>
    </w:pPr>
    <w:rPr>
      <w:szCs w:val="24"/>
    </w:rPr>
  </w:style>
  <w:style w:type="paragraph" w:customStyle="1" w:styleId="provvr0">
    <w:name w:val="provv_r0"/>
    <w:basedOn w:val="Normale"/>
    <w:uiPriority w:val="99"/>
    <w:rsid w:val="00627E1A"/>
    <w:pPr>
      <w:spacing w:before="100" w:beforeAutospacing="1" w:after="100" w:afterAutospacing="1"/>
    </w:pPr>
    <w:rPr>
      <w:szCs w:val="24"/>
    </w:rPr>
  </w:style>
  <w:style w:type="character" w:customStyle="1" w:styleId="PidipaginaCarattere">
    <w:name w:val="Piè di pagina Carattere"/>
    <w:basedOn w:val="Carpredefinitoparagrafo"/>
    <w:link w:val="Pidipagina"/>
    <w:uiPriority w:val="99"/>
    <w:rsid w:val="00290A6C"/>
    <w:rPr>
      <w:sz w:val="24"/>
    </w:rPr>
  </w:style>
  <w:style w:type="paragraph" w:customStyle="1" w:styleId="Default">
    <w:name w:val="Default"/>
    <w:rsid w:val="008867D9"/>
    <w:pPr>
      <w:autoSpaceDE w:val="0"/>
      <w:autoSpaceDN w:val="0"/>
      <w:adjustRightInd w:val="0"/>
    </w:pPr>
    <w:rPr>
      <w:color w:val="000000"/>
      <w:sz w:val="24"/>
      <w:szCs w:val="24"/>
    </w:rPr>
  </w:style>
  <w:style w:type="paragraph" w:customStyle="1" w:styleId="CM4">
    <w:name w:val="CM4"/>
    <w:basedOn w:val="Default"/>
    <w:next w:val="Default"/>
    <w:uiPriority w:val="99"/>
    <w:rsid w:val="008867D9"/>
    <w:rPr>
      <w:color w:val="auto"/>
    </w:rPr>
  </w:style>
  <w:style w:type="paragraph" w:customStyle="1" w:styleId="TESTO">
    <w:name w:val="TESTO"/>
    <w:basedOn w:val="Testonormale"/>
    <w:rsid w:val="005B17E9"/>
    <w:pPr>
      <w:ind w:left="851"/>
    </w:pPr>
    <w:rPr>
      <w:rFonts w:ascii="Arial" w:hAnsi="Arial" w:cs="Arial"/>
    </w:rPr>
  </w:style>
  <w:style w:type="paragraph" w:styleId="Testonormale">
    <w:name w:val="Plain Text"/>
    <w:basedOn w:val="Normale"/>
    <w:link w:val="TestonormaleCarattere"/>
    <w:rsid w:val="005B17E9"/>
    <w:rPr>
      <w:rFonts w:ascii="Consolas" w:hAnsi="Consolas" w:cs="Consolas"/>
      <w:sz w:val="21"/>
      <w:szCs w:val="21"/>
    </w:rPr>
  </w:style>
  <w:style w:type="character" w:customStyle="1" w:styleId="TestonormaleCarattere">
    <w:name w:val="Testo normale Carattere"/>
    <w:basedOn w:val="Carpredefinitoparagrafo"/>
    <w:link w:val="Testonormale"/>
    <w:rsid w:val="005B17E9"/>
    <w:rPr>
      <w:rFonts w:ascii="Consolas" w:hAnsi="Consolas" w:cs="Consolas"/>
      <w:sz w:val="21"/>
      <w:szCs w:val="21"/>
    </w:rPr>
  </w:style>
  <w:style w:type="character" w:styleId="Rimandocommento">
    <w:name w:val="annotation reference"/>
    <w:basedOn w:val="Carpredefinitoparagrafo"/>
    <w:rsid w:val="00CF7C3C"/>
    <w:rPr>
      <w:sz w:val="16"/>
      <w:szCs w:val="16"/>
    </w:rPr>
  </w:style>
  <w:style w:type="paragraph" w:styleId="Testocommento">
    <w:name w:val="annotation text"/>
    <w:basedOn w:val="Normale"/>
    <w:link w:val="TestocommentoCarattere"/>
    <w:rsid w:val="00CF7C3C"/>
    <w:rPr>
      <w:sz w:val="20"/>
    </w:rPr>
  </w:style>
  <w:style w:type="character" w:customStyle="1" w:styleId="TestocommentoCarattere">
    <w:name w:val="Testo commento Carattere"/>
    <w:basedOn w:val="Carpredefinitoparagrafo"/>
    <w:link w:val="Testocommento"/>
    <w:rsid w:val="00CF7C3C"/>
  </w:style>
  <w:style w:type="paragraph" w:styleId="Soggettocommento">
    <w:name w:val="annotation subject"/>
    <w:basedOn w:val="Testocommento"/>
    <w:next w:val="Testocommento"/>
    <w:link w:val="SoggettocommentoCarattere"/>
    <w:rsid w:val="00CF7C3C"/>
    <w:rPr>
      <w:b/>
      <w:bCs/>
    </w:rPr>
  </w:style>
  <w:style w:type="character" w:customStyle="1" w:styleId="SoggettocommentoCarattere">
    <w:name w:val="Soggetto commento Carattere"/>
    <w:basedOn w:val="TestocommentoCarattere"/>
    <w:link w:val="Soggettocommento"/>
    <w:rsid w:val="00CF7C3C"/>
    <w:rPr>
      <w:b/>
      <w:bCs/>
    </w:rPr>
  </w:style>
  <w:style w:type="paragraph" w:styleId="Revisione">
    <w:name w:val="Revision"/>
    <w:hidden/>
    <w:uiPriority w:val="99"/>
    <w:semiHidden/>
    <w:rsid w:val="007623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C75"/>
    <w:pPr>
      <w:jc w:val="both"/>
    </w:pPr>
    <w:rPr>
      <w:sz w:val="24"/>
    </w:rPr>
  </w:style>
  <w:style w:type="paragraph" w:styleId="Titolo2">
    <w:name w:val="heading 2"/>
    <w:basedOn w:val="Normale"/>
    <w:next w:val="Normale"/>
    <w:qFormat/>
    <w:rsid w:val="00A11C75"/>
    <w:pPr>
      <w:keepNext/>
      <w:numPr>
        <w:ilvl w:val="1"/>
        <w:numId w:val="1"/>
      </w:numPr>
      <w:tabs>
        <w:tab w:val="num" w:pos="1134"/>
      </w:tabs>
      <w:spacing w:before="240" w:after="120"/>
      <w:outlineLvl w:val="1"/>
    </w:pPr>
    <w:rPr>
      <w:b/>
      <w:smallCaps/>
    </w:rPr>
  </w:style>
  <w:style w:type="paragraph" w:styleId="Titolo3">
    <w:name w:val="heading 3"/>
    <w:basedOn w:val="Titolo2"/>
    <w:next w:val="Normale"/>
    <w:qFormat/>
    <w:rsid w:val="00A11C75"/>
    <w:pPr>
      <w:numPr>
        <w:ilvl w:val="2"/>
      </w:numPr>
      <w:tabs>
        <w:tab w:val="num" w:pos="1287"/>
      </w:tabs>
      <w:ind w:left="567" w:firstLine="0"/>
      <w:outlineLvl w:val="2"/>
    </w:pPr>
    <w:rPr>
      <w:smallCaps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3">
    <w:name w:val="testo3"/>
    <w:basedOn w:val="Normale"/>
    <w:rsid w:val="00A11C75"/>
    <w:pPr>
      <w:spacing w:after="120"/>
      <w:ind w:left="1843"/>
    </w:pPr>
    <w:rPr>
      <w:sz w:val="22"/>
    </w:rPr>
  </w:style>
  <w:style w:type="paragraph" w:styleId="Intestazione">
    <w:name w:val="header"/>
    <w:basedOn w:val="Normale"/>
    <w:rsid w:val="00A11C75"/>
    <w:pPr>
      <w:tabs>
        <w:tab w:val="center" w:pos="4819"/>
        <w:tab w:val="right" w:pos="9638"/>
      </w:tabs>
    </w:pPr>
  </w:style>
  <w:style w:type="paragraph" w:styleId="Pidipagina">
    <w:name w:val="footer"/>
    <w:basedOn w:val="Normale"/>
    <w:link w:val="PidipaginaCarattere"/>
    <w:uiPriority w:val="99"/>
    <w:rsid w:val="00A11C75"/>
    <w:pPr>
      <w:tabs>
        <w:tab w:val="center" w:pos="4819"/>
        <w:tab w:val="right" w:pos="9638"/>
      </w:tabs>
    </w:pPr>
  </w:style>
  <w:style w:type="paragraph" w:styleId="Testofumetto">
    <w:name w:val="Balloon Text"/>
    <w:basedOn w:val="Normale"/>
    <w:semiHidden/>
    <w:rsid w:val="00A11C75"/>
    <w:rPr>
      <w:rFonts w:ascii="Tahoma" w:hAnsi="Tahoma" w:cs="Tahoma"/>
      <w:sz w:val="16"/>
      <w:szCs w:val="16"/>
    </w:rPr>
  </w:style>
  <w:style w:type="paragraph" w:styleId="Paragrafoelenco">
    <w:name w:val="List Paragraph"/>
    <w:basedOn w:val="Normale"/>
    <w:uiPriority w:val="34"/>
    <w:qFormat/>
    <w:rsid w:val="00851B59"/>
    <w:pPr>
      <w:ind w:left="708"/>
      <w:jc w:val="left"/>
    </w:pPr>
    <w:rPr>
      <w:sz w:val="20"/>
    </w:rPr>
  </w:style>
  <w:style w:type="paragraph" w:styleId="NormaleWeb">
    <w:name w:val="Normal (Web)"/>
    <w:basedOn w:val="Normale"/>
    <w:rsid w:val="00851B59"/>
    <w:pPr>
      <w:spacing w:before="100" w:beforeAutospacing="1" w:after="100" w:afterAutospacing="1"/>
      <w:jc w:val="left"/>
    </w:pPr>
    <w:rPr>
      <w:szCs w:val="24"/>
    </w:rPr>
  </w:style>
  <w:style w:type="paragraph" w:customStyle="1" w:styleId="provvr0">
    <w:name w:val="provv_r0"/>
    <w:basedOn w:val="Normale"/>
    <w:uiPriority w:val="99"/>
    <w:rsid w:val="00627E1A"/>
    <w:pPr>
      <w:spacing w:before="100" w:beforeAutospacing="1" w:after="100" w:afterAutospacing="1"/>
    </w:pPr>
    <w:rPr>
      <w:szCs w:val="24"/>
    </w:rPr>
  </w:style>
  <w:style w:type="character" w:customStyle="1" w:styleId="PidipaginaCarattere">
    <w:name w:val="Piè di pagina Carattere"/>
    <w:basedOn w:val="Carpredefinitoparagrafo"/>
    <w:link w:val="Pidipagina"/>
    <w:uiPriority w:val="99"/>
    <w:rsid w:val="00290A6C"/>
    <w:rPr>
      <w:sz w:val="24"/>
    </w:rPr>
  </w:style>
  <w:style w:type="paragraph" w:customStyle="1" w:styleId="Default">
    <w:name w:val="Default"/>
    <w:rsid w:val="008867D9"/>
    <w:pPr>
      <w:autoSpaceDE w:val="0"/>
      <w:autoSpaceDN w:val="0"/>
      <w:adjustRightInd w:val="0"/>
    </w:pPr>
    <w:rPr>
      <w:color w:val="000000"/>
      <w:sz w:val="24"/>
      <w:szCs w:val="24"/>
    </w:rPr>
  </w:style>
  <w:style w:type="paragraph" w:customStyle="1" w:styleId="CM4">
    <w:name w:val="CM4"/>
    <w:basedOn w:val="Default"/>
    <w:next w:val="Default"/>
    <w:uiPriority w:val="99"/>
    <w:rsid w:val="008867D9"/>
    <w:rPr>
      <w:color w:val="auto"/>
    </w:rPr>
  </w:style>
  <w:style w:type="paragraph" w:customStyle="1" w:styleId="TESTO">
    <w:name w:val="TESTO"/>
    <w:basedOn w:val="Testonormale"/>
    <w:rsid w:val="005B17E9"/>
    <w:pPr>
      <w:ind w:left="851"/>
    </w:pPr>
    <w:rPr>
      <w:rFonts w:ascii="Arial" w:hAnsi="Arial" w:cs="Arial"/>
    </w:rPr>
  </w:style>
  <w:style w:type="paragraph" w:styleId="Testonormale">
    <w:name w:val="Plain Text"/>
    <w:basedOn w:val="Normale"/>
    <w:link w:val="TestonormaleCarattere"/>
    <w:rsid w:val="005B17E9"/>
    <w:rPr>
      <w:rFonts w:ascii="Consolas" w:hAnsi="Consolas" w:cs="Consolas"/>
      <w:sz w:val="21"/>
      <w:szCs w:val="21"/>
    </w:rPr>
  </w:style>
  <w:style w:type="character" w:customStyle="1" w:styleId="TestonormaleCarattere">
    <w:name w:val="Testo normale Carattere"/>
    <w:basedOn w:val="Carpredefinitoparagrafo"/>
    <w:link w:val="Testonormale"/>
    <w:rsid w:val="005B17E9"/>
    <w:rPr>
      <w:rFonts w:ascii="Consolas" w:hAnsi="Consolas" w:cs="Consolas"/>
      <w:sz w:val="21"/>
      <w:szCs w:val="21"/>
    </w:rPr>
  </w:style>
  <w:style w:type="character" w:styleId="Rimandocommento">
    <w:name w:val="annotation reference"/>
    <w:basedOn w:val="Carpredefinitoparagrafo"/>
    <w:rsid w:val="00CF7C3C"/>
    <w:rPr>
      <w:sz w:val="16"/>
      <w:szCs w:val="16"/>
    </w:rPr>
  </w:style>
  <w:style w:type="paragraph" w:styleId="Testocommento">
    <w:name w:val="annotation text"/>
    <w:basedOn w:val="Normale"/>
    <w:link w:val="TestocommentoCarattere"/>
    <w:rsid w:val="00CF7C3C"/>
    <w:rPr>
      <w:sz w:val="20"/>
    </w:rPr>
  </w:style>
  <w:style w:type="character" w:customStyle="1" w:styleId="TestocommentoCarattere">
    <w:name w:val="Testo commento Carattere"/>
    <w:basedOn w:val="Carpredefinitoparagrafo"/>
    <w:link w:val="Testocommento"/>
    <w:rsid w:val="00CF7C3C"/>
  </w:style>
  <w:style w:type="paragraph" w:styleId="Soggettocommento">
    <w:name w:val="annotation subject"/>
    <w:basedOn w:val="Testocommento"/>
    <w:next w:val="Testocommento"/>
    <w:link w:val="SoggettocommentoCarattere"/>
    <w:rsid w:val="00CF7C3C"/>
    <w:rPr>
      <w:b/>
      <w:bCs/>
    </w:rPr>
  </w:style>
  <w:style w:type="character" w:customStyle="1" w:styleId="SoggettocommentoCarattere">
    <w:name w:val="Soggetto commento Carattere"/>
    <w:basedOn w:val="TestocommentoCarattere"/>
    <w:link w:val="Soggettocommento"/>
    <w:rsid w:val="00CF7C3C"/>
    <w:rPr>
      <w:b/>
      <w:bCs/>
    </w:rPr>
  </w:style>
  <w:style w:type="paragraph" w:styleId="Revisione">
    <w:name w:val="Revision"/>
    <w:hidden/>
    <w:uiPriority w:val="99"/>
    <w:semiHidden/>
    <w:rsid w:val="007623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4405">
      <w:bodyDiv w:val="1"/>
      <w:marLeft w:val="0"/>
      <w:marRight w:val="0"/>
      <w:marTop w:val="0"/>
      <w:marBottom w:val="0"/>
      <w:divBdr>
        <w:top w:val="none" w:sz="0" w:space="0" w:color="auto"/>
        <w:left w:val="none" w:sz="0" w:space="0" w:color="auto"/>
        <w:bottom w:val="none" w:sz="0" w:space="0" w:color="auto"/>
        <w:right w:val="none" w:sz="0" w:space="0" w:color="auto"/>
      </w:divBdr>
    </w:div>
    <w:div w:id="18829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icheagricole.it/flex/cm/pages/ServeBLOB.php/L/IT/IDPagina/5560" TargetMode="External"/><Relationship Id="rId5" Type="http://schemas.openxmlformats.org/officeDocument/2006/relationships/settings" Target="settings.xml"/><Relationship Id="rId10" Type="http://schemas.openxmlformats.org/officeDocument/2006/relationships/hyperlink" Target="http://www.politicheagricole.it/flex/cm/pages/ServeBLOB.php/L/IT/IDPagina/5560"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54705"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96498-8182-4217-8B4B-F4B7E731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2986</Words>
  <Characters>17544</Characters>
  <Application>Microsoft Office Word</Application>
  <DocSecurity>0</DocSecurity>
  <Lines>146</Lines>
  <Paragraphs>40</Paragraphs>
  <ScaleCrop>false</ScaleCrop>
  <HeadingPairs>
    <vt:vector size="2" baseType="variant">
      <vt:variant>
        <vt:lpstr>Titolo</vt:lpstr>
      </vt:variant>
      <vt:variant>
        <vt:i4>1</vt:i4>
      </vt:variant>
    </vt:vector>
  </HeadingPairs>
  <TitlesOfParts>
    <vt:vector size="1" baseType="lpstr">
      <vt:lpstr/>
    </vt:vector>
  </TitlesOfParts>
  <Company>Finsiel</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paola.piersanti</dc:creator>
  <cp:lastModifiedBy>Quadri Mauro</cp:lastModifiedBy>
  <cp:revision>5</cp:revision>
  <cp:lastPrinted>2013-12-13T14:18:00Z</cp:lastPrinted>
  <dcterms:created xsi:type="dcterms:W3CDTF">2013-12-17T09:05:00Z</dcterms:created>
  <dcterms:modified xsi:type="dcterms:W3CDTF">2013-12-20T09:00:00Z</dcterms:modified>
</cp:coreProperties>
</file>